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7" w:type="dxa"/>
        <w:tblInd w:w="-856" w:type="dxa"/>
        <w:tblLook w:val="04A0" w:firstRow="1" w:lastRow="0" w:firstColumn="1" w:lastColumn="0" w:noHBand="0" w:noVBand="1"/>
      </w:tblPr>
      <w:tblGrid>
        <w:gridCol w:w="590"/>
        <w:gridCol w:w="3663"/>
        <w:gridCol w:w="3119"/>
        <w:gridCol w:w="1701"/>
        <w:gridCol w:w="1276"/>
        <w:gridCol w:w="8"/>
        <w:gridCol w:w="1268"/>
        <w:gridCol w:w="8"/>
        <w:gridCol w:w="4244"/>
      </w:tblGrid>
      <w:tr w:rsidR="00DC75FF" w14:paraId="1CD7DE14" w14:textId="77777777" w:rsidTr="00DC60F8">
        <w:tc>
          <w:tcPr>
            <w:tcW w:w="10357" w:type="dxa"/>
            <w:gridSpan w:val="6"/>
          </w:tcPr>
          <w:p w14:paraId="5A39210A" w14:textId="77777777" w:rsidR="00DC75FF" w:rsidRPr="00EA1EDC" w:rsidRDefault="00DC75FF" w:rsidP="00C459EF">
            <w:pPr>
              <w:rPr>
                <w:rFonts w:ascii="Gill Sans MT" w:hAnsi="Gill Sans MT"/>
                <w:i/>
                <w:color w:val="000000" w:themeColor="text1"/>
                <w:sz w:val="24"/>
                <w:szCs w:val="24"/>
              </w:rPr>
            </w:pPr>
            <w:r w:rsidRPr="00EA1EDC">
              <w:rPr>
                <w:rFonts w:ascii="Gill Sans MT" w:hAnsi="Gill Sans MT"/>
                <w:i/>
                <w:color w:val="000000" w:themeColor="text1"/>
                <w:sz w:val="24"/>
                <w:szCs w:val="24"/>
              </w:rPr>
              <w:t>Please note this Action Plan has been developed during the COVID-19</w:t>
            </w:r>
            <w:r>
              <w:rPr>
                <w:rFonts w:ascii="Gill Sans MT" w:hAnsi="Gill Sans MT"/>
                <w:i/>
                <w:color w:val="000000" w:themeColor="text1"/>
                <w:sz w:val="24"/>
                <w:szCs w:val="24"/>
              </w:rPr>
              <w:t xml:space="preserve"> pandemic</w:t>
            </w:r>
            <w:r w:rsidRPr="00EA1EDC">
              <w:rPr>
                <w:rFonts w:ascii="Gill Sans MT" w:hAnsi="Gill Sans MT"/>
                <w:i/>
                <w:color w:val="000000" w:themeColor="text1"/>
                <w:sz w:val="24"/>
                <w:szCs w:val="24"/>
              </w:rPr>
              <w:t xml:space="preserve"> and therefore some flexibility should be </w:t>
            </w:r>
            <w:r>
              <w:rPr>
                <w:rFonts w:ascii="Gill Sans MT" w:hAnsi="Gill Sans MT"/>
                <w:i/>
                <w:color w:val="000000" w:themeColor="text1"/>
                <w:sz w:val="24"/>
                <w:szCs w:val="24"/>
              </w:rPr>
              <w:t xml:space="preserve">given to the timeframes </w:t>
            </w:r>
          </w:p>
        </w:tc>
        <w:tc>
          <w:tcPr>
            <w:tcW w:w="1276" w:type="dxa"/>
            <w:gridSpan w:val="2"/>
          </w:tcPr>
          <w:p w14:paraId="5CB56CF3" w14:textId="77777777" w:rsidR="00DC75FF" w:rsidRPr="00EA1EDC" w:rsidRDefault="00DC75FF" w:rsidP="00C459EF">
            <w:pPr>
              <w:rPr>
                <w:rFonts w:ascii="Gill Sans MT" w:hAnsi="Gill Sans MT"/>
                <w:i/>
                <w:color w:val="000000" w:themeColor="text1"/>
                <w:sz w:val="24"/>
                <w:szCs w:val="24"/>
              </w:rPr>
            </w:pPr>
          </w:p>
        </w:tc>
        <w:tc>
          <w:tcPr>
            <w:tcW w:w="4244" w:type="dxa"/>
          </w:tcPr>
          <w:p w14:paraId="37218AD5" w14:textId="77777777" w:rsidR="00DC75FF" w:rsidRPr="00EA1EDC" w:rsidRDefault="00DC75FF" w:rsidP="00C459EF">
            <w:pPr>
              <w:rPr>
                <w:rFonts w:ascii="Gill Sans MT" w:hAnsi="Gill Sans MT"/>
                <w:i/>
                <w:color w:val="000000" w:themeColor="text1"/>
                <w:sz w:val="24"/>
                <w:szCs w:val="24"/>
              </w:rPr>
            </w:pPr>
          </w:p>
        </w:tc>
      </w:tr>
      <w:tr w:rsidR="00DC75FF" w14:paraId="586179EA" w14:textId="77777777" w:rsidTr="00DC60F8">
        <w:tc>
          <w:tcPr>
            <w:tcW w:w="590" w:type="dxa"/>
          </w:tcPr>
          <w:p w14:paraId="206F70CC" w14:textId="77777777" w:rsidR="00DC75FF" w:rsidRPr="00C459EF" w:rsidRDefault="00DC75FF" w:rsidP="00C459EF">
            <w:pPr>
              <w:rPr>
                <w:rFonts w:ascii="Gill Sans MT" w:hAnsi="Gill Sans MT"/>
                <w:sz w:val="24"/>
                <w:szCs w:val="24"/>
              </w:rPr>
            </w:pPr>
            <w:r w:rsidRPr="00C459EF">
              <w:rPr>
                <w:rFonts w:ascii="Gill Sans MT" w:hAnsi="Gill Sans MT"/>
                <w:sz w:val="24"/>
                <w:szCs w:val="24"/>
              </w:rPr>
              <w:t>No.</w:t>
            </w:r>
          </w:p>
        </w:tc>
        <w:tc>
          <w:tcPr>
            <w:tcW w:w="3663" w:type="dxa"/>
          </w:tcPr>
          <w:p w14:paraId="6E46F92E" w14:textId="77777777" w:rsidR="00DC75FF" w:rsidRPr="00C459EF" w:rsidRDefault="00DC75FF" w:rsidP="00C459EF">
            <w:pPr>
              <w:rPr>
                <w:rFonts w:ascii="Gill Sans MT" w:hAnsi="Gill Sans MT"/>
                <w:sz w:val="24"/>
                <w:szCs w:val="24"/>
              </w:rPr>
            </w:pPr>
            <w:r w:rsidRPr="00C459EF">
              <w:rPr>
                <w:rFonts w:ascii="Gill Sans MT" w:hAnsi="Gill Sans MT"/>
                <w:b/>
                <w:sz w:val="24"/>
                <w:szCs w:val="24"/>
              </w:rPr>
              <w:t>Recommendation</w:t>
            </w:r>
          </w:p>
        </w:tc>
        <w:tc>
          <w:tcPr>
            <w:tcW w:w="3119" w:type="dxa"/>
          </w:tcPr>
          <w:p w14:paraId="33D246F5" w14:textId="77777777" w:rsidR="00DC75FF" w:rsidRPr="00C459EF" w:rsidRDefault="00DC75FF" w:rsidP="00C459EF">
            <w:pPr>
              <w:rPr>
                <w:rFonts w:ascii="Gill Sans MT" w:hAnsi="Gill Sans MT"/>
                <w:sz w:val="24"/>
                <w:szCs w:val="24"/>
              </w:rPr>
            </w:pPr>
            <w:r w:rsidRPr="00C459EF">
              <w:rPr>
                <w:rFonts w:ascii="Gill Sans MT" w:hAnsi="Gill Sans MT"/>
                <w:b/>
                <w:sz w:val="24"/>
                <w:szCs w:val="24"/>
              </w:rPr>
              <w:t>Action</w:t>
            </w:r>
          </w:p>
        </w:tc>
        <w:tc>
          <w:tcPr>
            <w:tcW w:w="1701" w:type="dxa"/>
          </w:tcPr>
          <w:p w14:paraId="24F8F88D" w14:textId="77777777" w:rsidR="00DC75FF" w:rsidRPr="00C459EF" w:rsidRDefault="00DC75FF" w:rsidP="00C459EF">
            <w:pPr>
              <w:rPr>
                <w:rFonts w:ascii="Gill Sans MT" w:hAnsi="Gill Sans MT"/>
                <w:sz w:val="24"/>
                <w:szCs w:val="24"/>
              </w:rPr>
            </w:pPr>
            <w:r w:rsidRPr="00C459EF">
              <w:rPr>
                <w:rFonts w:ascii="Gill Sans MT" w:hAnsi="Gill Sans MT"/>
                <w:b/>
                <w:sz w:val="24"/>
                <w:szCs w:val="24"/>
              </w:rPr>
              <w:t>Who</w:t>
            </w:r>
          </w:p>
        </w:tc>
        <w:tc>
          <w:tcPr>
            <w:tcW w:w="1276" w:type="dxa"/>
          </w:tcPr>
          <w:p w14:paraId="7E640100" w14:textId="77777777" w:rsidR="00DC75FF" w:rsidRPr="00C459EF" w:rsidRDefault="00DC75FF" w:rsidP="00C459EF">
            <w:pPr>
              <w:rPr>
                <w:rFonts w:ascii="Gill Sans MT" w:hAnsi="Gill Sans MT"/>
                <w:sz w:val="24"/>
                <w:szCs w:val="24"/>
              </w:rPr>
            </w:pPr>
            <w:r w:rsidRPr="00C459EF">
              <w:rPr>
                <w:rFonts w:ascii="Gill Sans MT" w:hAnsi="Gill Sans MT"/>
                <w:b/>
                <w:color w:val="000000" w:themeColor="text1"/>
                <w:sz w:val="24"/>
                <w:szCs w:val="24"/>
              </w:rPr>
              <w:t>Time frame</w:t>
            </w:r>
          </w:p>
        </w:tc>
        <w:tc>
          <w:tcPr>
            <w:tcW w:w="1276" w:type="dxa"/>
            <w:gridSpan w:val="2"/>
          </w:tcPr>
          <w:p w14:paraId="5D875DA7" w14:textId="77777777" w:rsidR="00DC75FF" w:rsidRPr="00C459EF" w:rsidRDefault="00DC75FF" w:rsidP="00C459EF">
            <w:pPr>
              <w:rPr>
                <w:rFonts w:ascii="Gill Sans MT" w:hAnsi="Gill Sans MT"/>
                <w:b/>
                <w:color w:val="000000" w:themeColor="text1"/>
                <w:sz w:val="24"/>
                <w:szCs w:val="24"/>
              </w:rPr>
            </w:pPr>
            <w:r>
              <w:rPr>
                <w:rFonts w:ascii="Gill Sans MT" w:hAnsi="Gill Sans MT"/>
                <w:b/>
                <w:color w:val="000000" w:themeColor="text1"/>
                <w:sz w:val="24"/>
                <w:szCs w:val="24"/>
              </w:rPr>
              <w:t xml:space="preserve">RAG Rating </w:t>
            </w:r>
          </w:p>
        </w:tc>
        <w:tc>
          <w:tcPr>
            <w:tcW w:w="4252" w:type="dxa"/>
            <w:gridSpan w:val="2"/>
          </w:tcPr>
          <w:p w14:paraId="2D20A4DD" w14:textId="77777777" w:rsidR="00DC75FF" w:rsidRDefault="00DC75FF" w:rsidP="00C459EF">
            <w:pPr>
              <w:rPr>
                <w:rFonts w:ascii="Gill Sans MT" w:hAnsi="Gill Sans MT"/>
                <w:b/>
                <w:color w:val="000000" w:themeColor="text1"/>
                <w:sz w:val="24"/>
                <w:szCs w:val="24"/>
              </w:rPr>
            </w:pPr>
            <w:r>
              <w:rPr>
                <w:rFonts w:ascii="Gill Sans MT" w:hAnsi="Gill Sans MT"/>
                <w:b/>
                <w:color w:val="000000" w:themeColor="text1"/>
                <w:sz w:val="24"/>
                <w:szCs w:val="24"/>
              </w:rPr>
              <w:t>Update</w:t>
            </w:r>
          </w:p>
        </w:tc>
      </w:tr>
      <w:tr w:rsidR="00DC75FF" w14:paraId="513C7C8F" w14:textId="77777777" w:rsidTr="003D5F78">
        <w:trPr>
          <w:trHeight w:val="1259"/>
        </w:trPr>
        <w:tc>
          <w:tcPr>
            <w:tcW w:w="590" w:type="dxa"/>
          </w:tcPr>
          <w:p w14:paraId="2E8EF8B9" w14:textId="77777777" w:rsidR="00DC75FF" w:rsidRDefault="00DC75FF" w:rsidP="00C459EF">
            <w:pPr>
              <w:jc w:val="center"/>
            </w:pPr>
            <w:r>
              <w:t>1</w:t>
            </w:r>
          </w:p>
        </w:tc>
        <w:tc>
          <w:tcPr>
            <w:tcW w:w="3663" w:type="dxa"/>
          </w:tcPr>
          <w:p w14:paraId="3DE8AE91" w14:textId="77777777" w:rsidR="00DC75FF" w:rsidRPr="00344425" w:rsidRDefault="00DC75FF" w:rsidP="00344425">
            <w:pPr>
              <w:spacing w:after="120"/>
              <w:jc w:val="both"/>
              <w:rPr>
                <w:rFonts w:ascii="Gill Sans MT" w:hAnsi="Gill Sans MT" w:cs="Arial"/>
                <w:sz w:val="24"/>
                <w:szCs w:val="24"/>
              </w:rPr>
            </w:pPr>
            <w:r w:rsidRPr="00587114">
              <w:rPr>
                <w:rFonts w:ascii="Gill Sans MT" w:hAnsi="Gill Sans MT" w:cs="Arial"/>
                <w:sz w:val="24"/>
                <w:szCs w:val="24"/>
              </w:rPr>
              <w:t>The Local authority guidance on Hoarding should be reviewed to consider if in some cases this may be a family wide issue.</w:t>
            </w:r>
          </w:p>
        </w:tc>
        <w:tc>
          <w:tcPr>
            <w:tcW w:w="3119" w:type="dxa"/>
          </w:tcPr>
          <w:p w14:paraId="227DD6F4" w14:textId="77777777" w:rsidR="00DC75FF" w:rsidRDefault="00DC75FF" w:rsidP="00CC3EED">
            <w:pPr>
              <w:jc w:val="center"/>
            </w:pPr>
            <w:r>
              <w:t xml:space="preserve">Hoarding Policy to be reviewed and amended to include issues being considered in relation the wider family network as well as management oversight being sought in these cases. </w:t>
            </w:r>
          </w:p>
        </w:tc>
        <w:tc>
          <w:tcPr>
            <w:tcW w:w="1701" w:type="dxa"/>
          </w:tcPr>
          <w:p w14:paraId="50AC2628" w14:textId="77777777" w:rsidR="00DC75FF" w:rsidRDefault="00DC75FF" w:rsidP="00C459EF">
            <w:pPr>
              <w:jc w:val="center"/>
            </w:pPr>
            <w:r>
              <w:t xml:space="preserve">Local Authority -Head of Adult Safeguarding </w:t>
            </w:r>
          </w:p>
          <w:p w14:paraId="7740AC5D" w14:textId="77777777" w:rsidR="00DC75FF" w:rsidRDefault="00DC75FF" w:rsidP="00CC3EED"/>
        </w:tc>
        <w:tc>
          <w:tcPr>
            <w:tcW w:w="1276" w:type="dxa"/>
          </w:tcPr>
          <w:p w14:paraId="072151D7" w14:textId="232BF436" w:rsidR="00DC75FF" w:rsidRDefault="005554B4" w:rsidP="00CC3EED">
            <w:r>
              <w:t>March 2022</w:t>
            </w:r>
          </w:p>
        </w:tc>
        <w:tc>
          <w:tcPr>
            <w:tcW w:w="1276" w:type="dxa"/>
            <w:gridSpan w:val="2"/>
            <w:shd w:val="clear" w:color="auto" w:fill="92D050"/>
          </w:tcPr>
          <w:p w14:paraId="244D67DE" w14:textId="30F7185A" w:rsidR="00DC75FF" w:rsidRDefault="00DC75FF" w:rsidP="00C459EF">
            <w:pPr>
              <w:jc w:val="center"/>
            </w:pPr>
          </w:p>
        </w:tc>
        <w:tc>
          <w:tcPr>
            <w:tcW w:w="4252" w:type="dxa"/>
            <w:gridSpan w:val="2"/>
          </w:tcPr>
          <w:p w14:paraId="1992D4EE" w14:textId="37D401A0" w:rsidR="005554B4" w:rsidRDefault="00667AD1" w:rsidP="00B866AA">
            <w:pPr>
              <w:jc w:val="both"/>
              <w:rPr>
                <w:i/>
                <w:iCs/>
              </w:rPr>
            </w:pPr>
            <w:r>
              <w:rPr>
                <w:i/>
                <w:iCs/>
              </w:rPr>
              <w:t xml:space="preserve">SAB has engaged in the </w:t>
            </w:r>
            <w:r w:rsidR="00B866AA" w:rsidRPr="00B866AA">
              <w:rPr>
                <w:i/>
                <w:iCs/>
              </w:rPr>
              <w:t xml:space="preserve">Kings college project on Self neglect and </w:t>
            </w:r>
            <w:proofErr w:type="gramStart"/>
            <w:r w:rsidR="00B866AA" w:rsidRPr="00B866AA">
              <w:rPr>
                <w:i/>
                <w:iCs/>
              </w:rPr>
              <w:t>Hoarding</w:t>
            </w:r>
            <w:proofErr w:type="gramEnd"/>
            <w:r>
              <w:rPr>
                <w:i/>
                <w:iCs/>
              </w:rPr>
              <w:t xml:space="preserve"> which will</w:t>
            </w:r>
            <w:r w:rsidR="005554B4">
              <w:rPr>
                <w:i/>
                <w:iCs/>
              </w:rPr>
              <w:t xml:space="preserve"> result in some findings and guidance in relation to Self-neglect and hoarding. </w:t>
            </w:r>
          </w:p>
          <w:p w14:paraId="34CE898F" w14:textId="458EFD29" w:rsidR="00DC75FF" w:rsidRPr="00B866AA" w:rsidRDefault="00B866AA" w:rsidP="00B866AA">
            <w:pPr>
              <w:jc w:val="both"/>
              <w:rPr>
                <w:i/>
                <w:iCs/>
              </w:rPr>
            </w:pPr>
            <w:r w:rsidRPr="00B866AA">
              <w:rPr>
                <w:i/>
                <w:iCs/>
              </w:rPr>
              <w:t xml:space="preserve"> </w:t>
            </w:r>
          </w:p>
          <w:p w14:paraId="4896836B" w14:textId="0D836A2B" w:rsidR="00B866AA" w:rsidRDefault="003D5F78" w:rsidP="003D5F78">
            <w:pPr>
              <w:jc w:val="both"/>
            </w:pPr>
            <w:r>
              <w:rPr>
                <w:i/>
                <w:iCs/>
              </w:rPr>
              <w:t xml:space="preserve">Self-neglect and hoarding policy and guidance created and circulated. Self-Neglect conference held in November 2022. </w:t>
            </w:r>
          </w:p>
        </w:tc>
      </w:tr>
      <w:tr w:rsidR="00DC75FF" w14:paraId="02F1AA79" w14:textId="77777777" w:rsidTr="00BE2736">
        <w:trPr>
          <w:trHeight w:val="1343"/>
        </w:trPr>
        <w:tc>
          <w:tcPr>
            <w:tcW w:w="590" w:type="dxa"/>
          </w:tcPr>
          <w:p w14:paraId="188347E1" w14:textId="77777777" w:rsidR="00DC75FF" w:rsidRDefault="00DC75FF" w:rsidP="00C459EF">
            <w:pPr>
              <w:jc w:val="center"/>
            </w:pPr>
            <w:r>
              <w:t>2</w:t>
            </w:r>
          </w:p>
        </w:tc>
        <w:tc>
          <w:tcPr>
            <w:tcW w:w="3663" w:type="dxa"/>
          </w:tcPr>
          <w:p w14:paraId="7F69329D" w14:textId="77777777" w:rsidR="00DC75FF" w:rsidRDefault="00DC75FF" w:rsidP="00587114">
            <w:pPr>
              <w:jc w:val="both"/>
              <w:rPr>
                <w:rFonts w:ascii="Gill Sans MT" w:hAnsi="Gill Sans MT" w:cs="Arial"/>
                <w:sz w:val="24"/>
                <w:szCs w:val="24"/>
              </w:rPr>
            </w:pPr>
            <w:r w:rsidRPr="00344425">
              <w:rPr>
                <w:rFonts w:ascii="Gill Sans MT" w:hAnsi="Gill Sans MT" w:cs="Arial"/>
                <w:sz w:val="24"/>
                <w:szCs w:val="24"/>
              </w:rPr>
              <w:t>There is a need to disseminate simple guidance for families looking after a relative on what to do if they become unwell and lack insight into their needs</w:t>
            </w:r>
            <w:r>
              <w:t xml:space="preserve"> </w:t>
            </w:r>
            <w:r w:rsidRPr="00344425">
              <w:rPr>
                <w:rFonts w:ascii="Gill Sans MT" w:hAnsi="Gill Sans MT" w:cs="Arial"/>
                <w:sz w:val="24"/>
                <w:szCs w:val="24"/>
              </w:rPr>
              <w:t xml:space="preserve">such dissemination can be delivered by health and social care services. </w:t>
            </w:r>
          </w:p>
          <w:p w14:paraId="01C7B3DD" w14:textId="77777777" w:rsidR="00DC75FF" w:rsidRPr="00344425" w:rsidRDefault="00DC75FF" w:rsidP="00587114">
            <w:pPr>
              <w:jc w:val="both"/>
              <w:rPr>
                <w:rFonts w:ascii="Gill Sans MT" w:hAnsi="Gill Sans MT"/>
                <w:sz w:val="24"/>
                <w:szCs w:val="24"/>
              </w:rPr>
            </w:pPr>
          </w:p>
        </w:tc>
        <w:tc>
          <w:tcPr>
            <w:tcW w:w="3119" w:type="dxa"/>
          </w:tcPr>
          <w:p w14:paraId="654BDE74" w14:textId="77777777" w:rsidR="00DC75FF" w:rsidRDefault="00DC75FF" w:rsidP="00C459EF">
            <w:pPr>
              <w:jc w:val="center"/>
            </w:pPr>
            <w:r>
              <w:t xml:space="preserve">Safeguarding Adults Board (SAB) Website to be updated with appropriate support links. SAB to disseminate information to SAB members including Voluntary organisation. </w:t>
            </w:r>
          </w:p>
          <w:p w14:paraId="2AA1F8B0" w14:textId="77777777" w:rsidR="00DC75FF" w:rsidRDefault="00DC75FF" w:rsidP="00C459EF">
            <w:pPr>
              <w:jc w:val="center"/>
            </w:pPr>
          </w:p>
          <w:p w14:paraId="22CE3BAD" w14:textId="77777777" w:rsidR="00DC75FF" w:rsidRDefault="00DC75FF" w:rsidP="00C459EF">
            <w:pPr>
              <w:jc w:val="center"/>
            </w:pPr>
            <w:r>
              <w:t>SAB Manager to link with Carers Centre to ensure links to support information are shared with local carers.</w:t>
            </w:r>
          </w:p>
          <w:p w14:paraId="5CD4171D" w14:textId="77777777" w:rsidR="00DC75FF" w:rsidRDefault="00DC75FF" w:rsidP="00C459EF">
            <w:pPr>
              <w:jc w:val="center"/>
            </w:pPr>
          </w:p>
          <w:p w14:paraId="4F87A760" w14:textId="77777777" w:rsidR="00DC75FF" w:rsidRDefault="00DC75FF" w:rsidP="00E0496E"/>
        </w:tc>
        <w:tc>
          <w:tcPr>
            <w:tcW w:w="1701" w:type="dxa"/>
          </w:tcPr>
          <w:p w14:paraId="222CE0AC" w14:textId="77777777" w:rsidR="00DC75FF" w:rsidRDefault="00DC75FF" w:rsidP="00EA1EDC">
            <w:pPr>
              <w:jc w:val="center"/>
            </w:pPr>
            <w:r>
              <w:t>Local Authority – SAB Manager/ Safeguarding Advisor</w:t>
            </w:r>
          </w:p>
        </w:tc>
        <w:tc>
          <w:tcPr>
            <w:tcW w:w="1276" w:type="dxa"/>
          </w:tcPr>
          <w:p w14:paraId="2EB3F54F" w14:textId="04CAF3F3" w:rsidR="00DC75FF" w:rsidRDefault="005554B4" w:rsidP="00C459EF">
            <w:pPr>
              <w:jc w:val="center"/>
            </w:pPr>
            <w:r>
              <w:t>November</w:t>
            </w:r>
            <w:r w:rsidR="00DC75FF">
              <w:t xml:space="preserve"> 202</w:t>
            </w:r>
            <w:r>
              <w:t>1</w:t>
            </w:r>
          </w:p>
        </w:tc>
        <w:tc>
          <w:tcPr>
            <w:tcW w:w="1276" w:type="dxa"/>
            <w:gridSpan w:val="2"/>
            <w:shd w:val="clear" w:color="auto" w:fill="92D050"/>
          </w:tcPr>
          <w:p w14:paraId="48D6B4D6" w14:textId="126E0BEA" w:rsidR="00DC75FF" w:rsidRDefault="00DC75FF" w:rsidP="00C459EF">
            <w:pPr>
              <w:jc w:val="center"/>
            </w:pPr>
          </w:p>
        </w:tc>
        <w:tc>
          <w:tcPr>
            <w:tcW w:w="4252" w:type="dxa"/>
            <w:gridSpan w:val="2"/>
          </w:tcPr>
          <w:p w14:paraId="6FE4471D" w14:textId="77777777" w:rsidR="00BB74E3" w:rsidRPr="00BB74E3" w:rsidRDefault="008D5FC2" w:rsidP="00BB74E3">
            <w:pPr>
              <w:jc w:val="both"/>
              <w:rPr>
                <w:i/>
              </w:rPr>
            </w:pPr>
            <w:r w:rsidRPr="00BB74E3">
              <w:rPr>
                <w:i/>
              </w:rPr>
              <w:t xml:space="preserve">The carers centre </w:t>
            </w:r>
            <w:r w:rsidR="00BB74E3" w:rsidRPr="00BB74E3">
              <w:rPr>
                <w:i/>
              </w:rPr>
              <w:t>has</w:t>
            </w:r>
            <w:r w:rsidRPr="00BB74E3">
              <w:rPr>
                <w:i/>
              </w:rPr>
              <w:t xml:space="preserve"> a process of support and advice available to carers, including links to appropriate websites, more tailored information </w:t>
            </w:r>
            <w:r w:rsidR="00BB74E3" w:rsidRPr="00BB74E3">
              <w:rPr>
                <w:i/>
              </w:rPr>
              <w:t>th</w:t>
            </w:r>
            <w:r w:rsidRPr="00BB74E3">
              <w:rPr>
                <w:i/>
              </w:rPr>
              <w:t xml:space="preserve">rough the Greenwich Community directory and </w:t>
            </w:r>
            <w:r w:rsidR="00BB74E3" w:rsidRPr="00BB74E3">
              <w:rPr>
                <w:i/>
              </w:rPr>
              <w:t>Dementia hub, as well as individual support with a carers centre support officer.</w:t>
            </w:r>
          </w:p>
          <w:p w14:paraId="2389076B" w14:textId="77777777" w:rsidR="00BB74E3" w:rsidRPr="00BB74E3" w:rsidRDefault="00BB74E3" w:rsidP="00BB74E3">
            <w:pPr>
              <w:jc w:val="both"/>
              <w:rPr>
                <w:i/>
              </w:rPr>
            </w:pPr>
          </w:p>
          <w:p w14:paraId="5AEE4C4A" w14:textId="77777777" w:rsidR="00DC75FF" w:rsidRDefault="00BB74E3" w:rsidP="00BB74E3">
            <w:pPr>
              <w:jc w:val="both"/>
            </w:pPr>
            <w:r w:rsidRPr="00BB74E3">
              <w:rPr>
                <w:i/>
              </w:rPr>
              <w:t>An article to share the learning has been included in the Carers centre newsletter as well as shared with the Voluntary sector newsletter and SAB website updated.</w:t>
            </w:r>
            <w:r>
              <w:t xml:space="preserve">  </w:t>
            </w:r>
          </w:p>
        </w:tc>
      </w:tr>
      <w:tr w:rsidR="00AA7295" w14:paraId="03A1DCEF" w14:textId="77777777" w:rsidTr="00AA7295">
        <w:trPr>
          <w:trHeight w:val="555"/>
        </w:trPr>
        <w:tc>
          <w:tcPr>
            <w:tcW w:w="590" w:type="dxa"/>
            <w:vMerge w:val="restart"/>
          </w:tcPr>
          <w:p w14:paraId="295F0452" w14:textId="546BB75C" w:rsidR="00AA7295" w:rsidRDefault="00AA7295" w:rsidP="00C459EF">
            <w:pPr>
              <w:jc w:val="center"/>
            </w:pPr>
            <w:r>
              <w:t>3</w:t>
            </w:r>
          </w:p>
        </w:tc>
        <w:tc>
          <w:tcPr>
            <w:tcW w:w="3663" w:type="dxa"/>
            <w:vMerge w:val="restart"/>
          </w:tcPr>
          <w:p w14:paraId="3D3592C2" w14:textId="5E2D0B89" w:rsidR="00AA7295" w:rsidRPr="00344425" w:rsidRDefault="00AA7295" w:rsidP="00587114">
            <w:pPr>
              <w:jc w:val="both"/>
              <w:rPr>
                <w:rFonts w:ascii="Gill Sans MT" w:hAnsi="Gill Sans MT" w:cs="Arial"/>
                <w:sz w:val="24"/>
                <w:szCs w:val="24"/>
              </w:rPr>
            </w:pPr>
            <w:bookmarkStart w:id="0" w:name="_Hlk85702689"/>
            <w:r w:rsidRPr="00344425">
              <w:rPr>
                <w:rFonts w:ascii="Gill Sans MT" w:hAnsi="Gill Sans MT" w:cs="Arial"/>
                <w:sz w:val="24"/>
                <w:szCs w:val="24"/>
              </w:rPr>
              <w:t xml:space="preserve">All health care services should promote the use of carer’s assessments and keep records where these are refused including prompts to reoffer these. As part of the assessment, a record should be </w:t>
            </w:r>
            <w:r w:rsidRPr="00344425">
              <w:rPr>
                <w:rFonts w:ascii="Gill Sans MT" w:hAnsi="Gill Sans MT" w:cs="Arial"/>
                <w:sz w:val="24"/>
                <w:szCs w:val="24"/>
              </w:rPr>
              <w:lastRenderedPageBreak/>
              <w:t>ma</w:t>
            </w:r>
            <w:r>
              <w:rPr>
                <w:rFonts w:ascii="Gill Sans MT" w:hAnsi="Gill Sans MT" w:cs="Arial"/>
                <w:sz w:val="24"/>
                <w:szCs w:val="24"/>
              </w:rPr>
              <w:t>de which identifies how many peo</w:t>
            </w:r>
            <w:r w:rsidRPr="00344425">
              <w:rPr>
                <w:rFonts w:ascii="Gill Sans MT" w:hAnsi="Gill Sans MT" w:cs="Arial"/>
                <w:sz w:val="24"/>
                <w:szCs w:val="24"/>
              </w:rPr>
              <w:t>ple a carer is looking after.</w:t>
            </w:r>
            <w:bookmarkEnd w:id="0"/>
          </w:p>
        </w:tc>
        <w:tc>
          <w:tcPr>
            <w:tcW w:w="3119" w:type="dxa"/>
          </w:tcPr>
          <w:p w14:paraId="4B4BF591" w14:textId="366014F3" w:rsidR="00AA7295" w:rsidRDefault="00AA7295" w:rsidP="00C459EF">
            <w:pPr>
              <w:jc w:val="center"/>
            </w:pPr>
            <w:r>
              <w:lastRenderedPageBreak/>
              <w:t>CCG to remind GPs about the right to a carers assessment and promote referrals to the Local Authority.</w:t>
            </w:r>
          </w:p>
        </w:tc>
        <w:tc>
          <w:tcPr>
            <w:tcW w:w="1701" w:type="dxa"/>
          </w:tcPr>
          <w:p w14:paraId="3C189464" w14:textId="572C0F5B" w:rsidR="00AA7295" w:rsidRDefault="00AA7295" w:rsidP="00EA1EDC">
            <w:pPr>
              <w:jc w:val="center"/>
            </w:pPr>
            <w:r>
              <w:t>CCG- Designated nurse for adult safeguarding</w:t>
            </w:r>
          </w:p>
        </w:tc>
        <w:tc>
          <w:tcPr>
            <w:tcW w:w="1276" w:type="dxa"/>
          </w:tcPr>
          <w:p w14:paraId="16019C91" w14:textId="26112F30" w:rsidR="00AA7295" w:rsidRDefault="00AA7295" w:rsidP="00C459EF">
            <w:pPr>
              <w:jc w:val="center"/>
            </w:pPr>
            <w:r>
              <w:t>January 2021</w:t>
            </w:r>
          </w:p>
        </w:tc>
        <w:tc>
          <w:tcPr>
            <w:tcW w:w="1276" w:type="dxa"/>
            <w:gridSpan w:val="2"/>
            <w:shd w:val="clear" w:color="auto" w:fill="92D050"/>
          </w:tcPr>
          <w:p w14:paraId="56E03127" w14:textId="058C9904" w:rsidR="00AA7295" w:rsidRDefault="00AA7295" w:rsidP="00C459EF">
            <w:pPr>
              <w:jc w:val="center"/>
            </w:pPr>
          </w:p>
        </w:tc>
        <w:tc>
          <w:tcPr>
            <w:tcW w:w="4252" w:type="dxa"/>
            <w:gridSpan w:val="2"/>
          </w:tcPr>
          <w:p w14:paraId="71CA9422" w14:textId="15ACC650" w:rsidR="00AA7295" w:rsidRPr="00BB74E3" w:rsidRDefault="00AA7295" w:rsidP="00BB74E3">
            <w:pPr>
              <w:jc w:val="both"/>
              <w:rPr>
                <w:i/>
              </w:rPr>
            </w:pPr>
            <w:r w:rsidRPr="003B6BF4">
              <w:rPr>
                <w:i/>
              </w:rPr>
              <w:t>Disseminated via GP newsletter February 2021</w:t>
            </w:r>
          </w:p>
        </w:tc>
      </w:tr>
      <w:tr w:rsidR="00AA7295" w14:paraId="5C8987D0" w14:textId="77777777" w:rsidTr="00BE2736">
        <w:trPr>
          <w:trHeight w:val="555"/>
        </w:trPr>
        <w:tc>
          <w:tcPr>
            <w:tcW w:w="590" w:type="dxa"/>
            <w:vMerge/>
          </w:tcPr>
          <w:p w14:paraId="515FB783" w14:textId="77777777" w:rsidR="00AA7295" w:rsidRDefault="00AA7295" w:rsidP="00C459EF">
            <w:pPr>
              <w:jc w:val="center"/>
            </w:pPr>
          </w:p>
        </w:tc>
        <w:tc>
          <w:tcPr>
            <w:tcW w:w="3663" w:type="dxa"/>
            <w:vMerge/>
          </w:tcPr>
          <w:p w14:paraId="600FFD9F" w14:textId="77777777" w:rsidR="00AA7295" w:rsidRPr="00344425" w:rsidRDefault="00AA7295" w:rsidP="00587114">
            <w:pPr>
              <w:jc w:val="both"/>
              <w:rPr>
                <w:rFonts w:ascii="Gill Sans MT" w:hAnsi="Gill Sans MT" w:cs="Arial"/>
                <w:sz w:val="24"/>
                <w:szCs w:val="24"/>
              </w:rPr>
            </w:pPr>
          </w:p>
        </w:tc>
        <w:tc>
          <w:tcPr>
            <w:tcW w:w="3119" w:type="dxa"/>
          </w:tcPr>
          <w:p w14:paraId="60819F37" w14:textId="3547286D" w:rsidR="00AA7295" w:rsidRDefault="00AA7295" w:rsidP="00C459EF">
            <w:pPr>
              <w:jc w:val="center"/>
            </w:pPr>
            <w:r>
              <w:t>Carers assessment to be offered routinely and reviewed annually even if refused.</w:t>
            </w:r>
          </w:p>
        </w:tc>
        <w:tc>
          <w:tcPr>
            <w:tcW w:w="1701" w:type="dxa"/>
          </w:tcPr>
          <w:p w14:paraId="67C5F4BE" w14:textId="1F969BED" w:rsidR="00AA7295" w:rsidRDefault="00AA7295" w:rsidP="00EA1EDC">
            <w:pPr>
              <w:jc w:val="center"/>
            </w:pPr>
            <w:r>
              <w:t>Local Authority</w:t>
            </w:r>
          </w:p>
        </w:tc>
        <w:tc>
          <w:tcPr>
            <w:tcW w:w="1276" w:type="dxa"/>
          </w:tcPr>
          <w:p w14:paraId="304B0F37" w14:textId="234A167D" w:rsidR="00AA7295" w:rsidRDefault="00AA7295" w:rsidP="00C459EF">
            <w:pPr>
              <w:jc w:val="center"/>
            </w:pPr>
            <w:r>
              <w:t>Complete</w:t>
            </w:r>
          </w:p>
        </w:tc>
        <w:tc>
          <w:tcPr>
            <w:tcW w:w="1276" w:type="dxa"/>
            <w:gridSpan w:val="2"/>
            <w:shd w:val="clear" w:color="auto" w:fill="92D050"/>
          </w:tcPr>
          <w:p w14:paraId="4A9383ED" w14:textId="77777777" w:rsidR="00AA7295" w:rsidRDefault="00AA7295" w:rsidP="00C459EF">
            <w:pPr>
              <w:jc w:val="center"/>
            </w:pPr>
          </w:p>
        </w:tc>
        <w:tc>
          <w:tcPr>
            <w:tcW w:w="4252" w:type="dxa"/>
            <w:gridSpan w:val="2"/>
          </w:tcPr>
          <w:p w14:paraId="1838F7DD" w14:textId="58603071" w:rsidR="00AA7295" w:rsidRPr="00BB74E3" w:rsidRDefault="00AA7295" w:rsidP="00BB74E3">
            <w:pPr>
              <w:jc w:val="both"/>
              <w:rPr>
                <w:i/>
              </w:rPr>
            </w:pPr>
            <w:r w:rsidRPr="003A3B51">
              <w:rPr>
                <w:i/>
              </w:rPr>
              <w:t>Once a carer is identified a carers assessment is offered even if services are not being provided. The carers assessment is reviewed annual</w:t>
            </w:r>
            <w:r>
              <w:rPr>
                <w:i/>
              </w:rPr>
              <w:t>ly</w:t>
            </w:r>
            <w:r w:rsidRPr="003A3B51">
              <w:rPr>
                <w:i/>
              </w:rPr>
              <w:t xml:space="preserve"> as part of the service users review. A </w:t>
            </w:r>
            <w:r w:rsidRPr="003A3B51">
              <w:rPr>
                <w:i/>
              </w:rPr>
              <w:lastRenderedPageBreak/>
              <w:t>carer will be provided with relevant support advise and information as part of this assessment.</w:t>
            </w:r>
          </w:p>
        </w:tc>
      </w:tr>
      <w:tr w:rsidR="00AA7295" w14:paraId="016A4325" w14:textId="77777777" w:rsidTr="00BE2736">
        <w:trPr>
          <w:trHeight w:val="555"/>
        </w:trPr>
        <w:tc>
          <w:tcPr>
            <w:tcW w:w="590" w:type="dxa"/>
            <w:vMerge/>
          </w:tcPr>
          <w:p w14:paraId="232C2F0D" w14:textId="77777777" w:rsidR="00AA7295" w:rsidRDefault="00AA7295" w:rsidP="00C459EF">
            <w:pPr>
              <w:jc w:val="center"/>
            </w:pPr>
          </w:p>
        </w:tc>
        <w:tc>
          <w:tcPr>
            <w:tcW w:w="3663" w:type="dxa"/>
            <w:vMerge/>
          </w:tcPr>
          <w:p w14:paraId="7115BC31" w14:textId="77777777" w:rsidR="00AA7295" w:rsidRPr="00344425" w:rsidRDefault="00AA7295" w:rsidP="00587114">
            <w:pPr>
              <w:jc w:val="both"/>
              <w:rPr>
                <w:rFonts w:ascii="Gill Sans MT" w:hAnsi="Gill Sans MT" w:cs="Arial"/>
                <w:sz w:val="24"/>
                <w:szCs w:val="24"/>
              </w:rPr>
            </w:pPr>
          </w:p>
        </w:tc>
        <w:tc>
          <w:tcPr>
            <w:tcW w:w="3119" w:type="dxa"/>
          </w:tcPr>
          <w:p w14:paraId="69E1A606" w14:textId="5BBF6C66" w:rsidR="00AA7295" w:rsidRDefault="00AA7295" w:rsidP="00C459EF">
            <w:pPr>
              <w:jc w:val="center"/>
            </w:pPr>
            <w:r>
              <w:t>Carers assessment forms to be amended to include whether a person has multiple caring roles.</w:t>
            </w:r>
          </w:p>
        </w:tc>
        <w:tc>
          <w:tcPr>
            <w:tcW w:w="1701" w:type="dxa"/>
          </w:tcPr>
          <w:p w14:paraId="10AB28B2" w14:textId="151CC5C4" w:rsidR="00AA7295" w:rsidRDefault="00AA7295" w:rsidP="00EA1EDC">
            <w:pPr>
              <w:jc w:val="center"/>
            </w:pPr>
            <w:r>
              <w:t xml:space="preserve">Local Authority Safeguarding Advisor/ Principal Social Worker  </w:t>
            </w:r>
          </w:p>
        </w:tc>
        <w:tc>
          <w:tcPr>
            <w:tcW w:w="1276" w:type="dxa"/>
          </w:tcPr>
          <w:p w14:paraId="1144F974" w14:textId="311D7847" w:rsidR="00AA7295" w:rsidRDefault="00AA7295" w:rsidP="00C459EF">
            <w:pPr>
              <w:jc w:val="center"/>
            </w:pPr>
            <w:r>
              <w:t>April 2021</w:t>
            </w:r>
          </w:p>
        </w:tc>
        <w:tc>
          <w:tcPr>
            <w:tcW w:w="1276" w:type="dxa"/>
            <w:gridSpan w:val="2"/>
            <w:shd w:val="clear" w:color="auto" w:fill="92D050"/>
          </w:tcPr>
          <w:p w14:paraId="1E2280E1" w14:textId="77777777" w:rsidR="00AA7295" w:rsidRDefault="00AA7295" w:rsidP="00C459EF">
            <w:pPr>
              <w:jc w:val="center"/>
            </w:pPr>
          </w:p>
        </w:tc>
        <w:tc>
          <w:tcPr>
            <w:tcW w:w="4252" w:type="dxa"/>
            <w:gridSpan w:val="2"/>
          </w:tcPr>
          <w:p w14:paraId="2CB6F1E2" w14:textId="43EB460A" w:rsidR="00AA7295" w:rsidRPr="00BB74E3" w:rsidRDefault="00AA7295" w:rsidP="00BB74E3">
            <w:pPr>
              <w:jc w:val="both"/>
              <w:rPr>
                <w:i/>
              </w:rPr>
            </w:pPr>
            <w:r w:rsidRPr="009A1581">
              <w:rPr>
                <w:i/>
              </w:rPr>
              <w:t xml:space="preserve">The carers assessments on Mosaic </w:t>
            </w:r>
            <w:r w:rsidR="009A1581" w:rsidRPr="009A1581">
              <w:rPr>
                <w:i/>
              </w:rPr>
              <w:t xml:space="preserve">now </w:t>
            </w:r>
            <w:r w:rsidRPr="009A1581">
              <w:rPr>
                <w:i/>
              </w:rPr>
              <w:t>ha</w:t>
            </w:r>
            <w:r w:rsidR="009A1581" w:rsidRPr="009A1581">
              <w:rPr>
                <w:i/>
              </w:rPr>
              <w:t>s</w:t>
            </w:r>
            <w:r w:rsidRPr="009A1581">
              <w:rPr>
                <w:i/>
              </w:rPr>
              <w:t xml:space="preserve"> the capacity to enter multiple caring roles</w:t>
            </w:r>
            <w:r>
              <w:t>.</w:t>
            </w:r>
          </w:p>
        </w:tc>
      </w:tr>
      <w:tr w:rsidR="00AA7295" w14:paraId="1F3CE99B" w14:textId="77777777" w:rsidTr="00BE2736">
        <w:trPr>
          <w:trHeight w:val="555"/>
        </w:trPr>
        <w:tc>
          <w:tcPr>
            <w:tcW w:w="590" w:type="dxa"/>
            <w:vMerge/>
          </w:tcPr>
          <w:p w14:paraId="649EA653" w14:textId="77777777" w:rsidR="00AA7295" w:rsidRDefault="00AA7295" w:rsidP="00C459EF">
            <w:pPr>
              <w:jc w:val="center"/>
            </w:pPr>
          </w:p>
        </w:tc>
        <w:tc>
          <w:tcPr>
            <w:tcW w:w="3663" w:type="dxa"/>
            <w:vMerge/>
          </w:tcPr>
          <w:p w14:paraId="355FADB9" w14:textId="77777777" w:rsidR="00AA7295" w:rsidRPr="00344425" w:rsidRDefault="00AA7295" w:rsidP="00587114">
            <w:pPr>
              <w:jc w:val="both"/>
              <w:rPr>
                <w:rFonts w:ascii="Gill Sans MT" w:hAnsi="Gill Sans MT" w:cs="Arial"/>
                <w:sz w:val="24"/>
                <w:szCs w:val="24"/>
              </w:rPr>
            </w:pPr>
          </w:p>
        </w:tc>
        <w:tc>
          <w:tcPr>
            <w:tcW w:w="3119" w:type="dxa"/>
          </w:tcPr>
          <w:p w14:paraId="329862E8" w14:textId="43C0C4A7" w:rsidR="00AA7295" w:rsidRDefault="00AA7295" w:rsidP="00C459EF">
            <w:pPr>
              <w:jc w:val="center"/>
            </w:pPr>
            <w:r>
              <w:t xml:space="preserve">To ensure carers assessments are recorded and support networks identified as part </w:t>
            </w:r>
            <w:proofErr w:type="spellStart"/>
            <w:r>
              <w:t>if</w:t>
            </w:r>
            <w:proofErr w:type="spellEnd"/>
            <w:r>
              <w:t xml:space="preserve"> the persons care</w:t>
            </w:r>
          </w:p>
        </w:tc>
        <w:tc>
          <w:tcPr>
            <w:tcW w:w="1701" w:type="dxa"/>
          </w:tcPr>
          <w:p w14:paraId="1B1729D0" w14:textId="73DE91D4" w:rsidR="00AA7295" w:rsidRDefault="00AA7295" w:rsidP="00EA1EDC">
            <w:pPr>
              <w:jc w:val="center"/>
            </w:pPr>
            <w:proofErr w:type="spellStart"/>
            <w:r>
              <w:t>Oxleas</w:t>
            </w:r>
            <w:proofErr w:type="spellEnd"/>
            <w:r>
              <w:t xml:space="preserve"> NHS Trust</w:t>
            </w:r>
          </w:p>
        </w:tc>
        <w:tc>
          <w:tcPr>
            <w:tcW w:w="1276" w:type="dxa"/>
          </w:tcPr>
          <w:p w14:paraId="62ABC7A2" w14:textId="01141B6C" w:rsidR="00AA7295" w:rsidRDefault="00AA7295" w:rsidP="00C459EF">
            <w:pPr>
              <w:jc w:val="center"/>
            </w:pPr>
            <w:r>
              <w:t>Complete</w:t>
            </w:r>
          </w:p>
        </w:tc>
        <w:tc>
          <w:tcPr>
            <w:tcW w:w="1276" w:type="dxa"/>
            <w:gridSpan w:val="2"/>
            <w:shd w:val="clear" w:color="auto" w:fill="92D050"/>
          </w:tcPr>
          <w:p w14:paraId="73167F18" w14:textId="77777777" w:rsidR="00AA7295" w:rsidRDefault="00AA7295" w:rsidP="00C459EF">
            <w:pPr>
              <w:jc w:val="center"/>
            </w:pPr>
          </w:p>
        </w:tc>
        <w:tc>
          <w:tcPr>
            <w:tcW w:w="4252" w:type="dxa"/>
            <w:gridSpan w:val="2"/>
          </w:tcPr>
          <w:p w14:paraId="71750C55" w14:textId="77777777" w:rsidR="00AA7295" w:rsidRPr="00DC60F8" w:rsidRDefault="00AA7295" w:rsidP="00AA7295">
            <w:pPr>
              <w:rPr>
                <w:rFonts w:eastAsia="Times New Roman"/>
                <w:i/>
                <w:color w:val="000000"/>
              </w:rPr>
            </w:pPr>
            <w:proofErr w:type="spellStart"/>
            <w:r w:rsidRPr="00DC60F8">
              <w:rPr>
                <w:rFonts w:eastAsia="Times New Roman"/>
                <w:i/>
                <w:color w:val="000000"/>
              </w:rPr>
              <w:t>Oxleas</w:t>
            </w:r>
            <w:proofErr w:type="spellEnd"/>
            <w:r w:rsidRPr="00DC60F8">
              <w:rPr>
                <w:rFonts w:eastAsia="Times New Roman"/>
                <w:i/>
                <w:color w:val="000000"/>
              </w:rPr>
              <w:t xml:space="preserve"> record the number of carers registered on </w:t>
            </w:r>
            <w:proofErr w:type="spellStart"/>
            <w:r w:rsidRPr="00DC60F8">
              <w:rPr>
                <w:rFonts w:eastAsia="Times New Roman"/>
                <w:i/>
                <w:color w:val="000000"/>
              </w:rPr>
              <w:t>RiO</w:t>
            </w:r>
            <w:proofErr w:type="spellEnd"/>
            <w:r w:rsidRPr="00DC60F8">
              <w:rPr>
                <w:rFonts w:eastAsia="Times New Roman"/>
                <w:i/>
                <w:color w:val="000000"/>
              </w:rPr>
              <w:t xml:space="preserve">, and whether they have been offered an assessment or not.  This data is recorded in the Trust PEG report which is produced every 2 months.   </w:t>
            </w:r>
          </w:p>
          <w:p w14:paraId="32671303" w14:textId="77777777" w:rsidR="00AA7295" w:rsidRPr="00DC60F8" w:rsidRDefault="00AA7295" w:rsidP="00AA7295">
            <w:pPr>
              <w:rPr>
                <w:rFonts w:eastAsia="Times New Roman"/>
                <w:i/>
                <w:color w:val="000000"/>
              </w:rPr>
            </w:pPr>
          </w:p>
          <w:p w14:paraId="375136ED" w14:textId="77777777" w:rsidR="00AA7295" w:rsidRPr="00DC60F8" w:rsidRDefault="00AA7295" w:rsidP="00AA7295">
            <w:pPr>
              <w:rPr>
                <w:rFonts w:eastAsia="Times New Roman"/>
                <w:i/>
                <w:color w:val="000000"/>
              </w:rPr>
            </w:pPr>
            <w:proofErr w:type="spellStart"/>
            <w:r w:rsidRPr="00DC60F8">
              <w:rPr>
                <w:rFonts w:eastAsia="Times New Roman"/>
                <w:i/>
                <w:color w:val="000000"/>
              </w:rPr>
              <w:t>Oxleas</w:t>
            </w:r>
            <w:proofErr w:type="spellEnd"/>
            <w:r w:rsidRPr="00DC60F8">
              <w:rPr>
                <w:rFonts w:eastAsia="Times New Roman"/>
                <w:i/>
                <w:color w:val="000000"/>
              </w:rPr>
              <w:t xml:space="preserve"> have implemented a Support network strategy document.  The "support network tool" is completed for nearly all patients which captures any support involved in a person’s care (except children under 16).  </w:t>
            </w:r>
          </w:p>
          <w:p w14:paraId="41B4FDF6" w14:textId="77777777" w:rsidR="00AA7295" w:rsidRPr="00DC60F8" w:rsidRDefault="00AA7295" w:rsidP="00AA7295">
            <w:pPr>
              <w:rPr>
                <w:rFonts w:eastAsia="Times New Roman"/>
                <w:i/>
                <w:color w:val="000000"/>
              </w:rPr>
            </w:pPr>
          </w:p>
          <w:p w14:paraId="577F945E" w14:textId="77777777" w:rsidR="00AA7295" w:rsidRPr="00DC60F8" w:rsidRDefault="00AA7295" w:rsidP="00AA7295">
            <w:pPr>
              <w:rPr>
                <w:rFonts w:eastAsia="Times New Roman"/>
                <w:i/>
                <w:color w:val="000000"/>
              </w:rPr>
            </w:pPr>
            <w:r w:rsidRPr="00DC60F8">
              <w:rPr>
                <w:rFonts w:eastAsia="Times New Roman"/>
                <w:i/>
                <w:color w:val="000000"/>
              </w:rPr>
              <w:t>In addition,</w:t>
            </w:r>
            <w:r>
              <w:rPr>
                <w:rFonts w:eastAsia="Times New Roman"/>
                <w:i/>
                <w:color w:val="000000"/>
              </w:rPr>
              <w:t xml:space="preserve"> </w:t>
            </w:r>
            <w:r w:rsidRPr="00DC60F8">
              <w:rPr>
                <w:rFonts w:eastAsia="Times New Roman"/>
                <w:i/>
                <w:color w:val="000000"/>
              </w:rPr>
              <w:t xml:space="preserve">service users are asked as part of patient experience feedback, if they wanted someone from their support network involved in their care.  If they say they did want someone involved, </w:t>
            </w:r>
            <w:r>
              <w:rPr>
                <w:rFonts w:eastAsia="Times New Roman"/>
                <w:i/>
                <w:color w:val="000000"/>
              </w:rPr>
              <w:t xml:space="preserve">they are </w:t>
            </w:r>
            <w:r w:rsidRPr="00DC60F8">
              <w:rPr>
                <w:rFonts w:eastAsia="Times New Roman"/>
                <w:i/>
                <w:color w:val="000000"/>
              </w:rPr>
              <w:t>ask</w:t>
            </w:r>
            <w:r>
              <w:rPr>
                <w:rFonts w:eastAsia="Times New Roman"/>
                <w:i/>
                <w:color w:val="000000"/>
              </w:rPr>
              <w:t>ed</w:t>
            </w:r>
            <w:r w:rsidRPr="00DC60F8">
              <w:rPr>
                <w:rFonts w:eastAsia="Times New Roman"/>
                <w:i/>
                <w:color w:val="000000"/>
              </w:rPr>
              <w:t xml:space="preserve"> a follow up question about whether that in fact did occur.  </w:t>
            </w:r>
          </w:p>
          <w:p w14:paraId="4116B57A" w14:textId="77777777" w:rsidR="00AA7295" w:rsidRPr="00BB74E3" w:rsidRDefault="00AA7295" w:rsidP="00BB74E3">
            <w:pPr>
              <w:jc w:val="both"/>
              <w:rPr>
                <w:i/>
              </w:rPr>
            </w:pPr>
          </w:p>
        </w:tc>
      </w:tr>
      <w:tr w:rsidR="00DC75FF" w14:paraId="6C429C0D" w14:textId="77777777" w:rsidTr="003B6BF4">
        <w:trPr>
          <w:trHeight w:val="1875"/>
        </w:trPr>
        <w:tc>
          <w:tcPr>
            <w:tcW w:w="590" w:type="dxa"/>
            <w:vMerge w:val="restart"/>
          </w:tcPr>
          <w:p w14:paraId="3B4F9B38" w14:textId="77777777" w:rsidR="00DC75FF" w:rsidRDefault="00DC75FF" w:rsidP="00C459EF">
            <w:pPr>
              <w:jc w:val="center"/>
            </w:pPr>
            <w:r>
              <w:lastRenderedPageBreak/>
              <w:t>4</w:t>
            </w:r>
          </w:p>
        </w:tc>
        <w:tc>
          <w:tcPr>
            <w:tcW w:w="3663" w:type="dxa"/>
            <w:vMerge w:val="restart"/>
          </w:tcPr>
          <w:p w14:paraId="78027C65" w14:textId="77777777" w:rsidR="00DC75FF" w:rsidRPr="00CC3EED" w:rsidRDefault="00DC75FF" w:rsidP="00CC3EED">
            <w:pPr>
              <w:spacing w:after="120"/>
              <w:jc w:val="both"/>
              <w:rPr>
                <w:rFonts w:ascii="Gill Sans MT" w:hAnsi="Gill Sans MT" w:cs="Arial"/>
                <w:sz w:val="24"/>
                <w:szCs w:val="24"/>
              </w:rPr>
            </w:pPr>
            <w:r w:rsidRPr="00344425">
              <w:rPr>
                <w:rFonts w:ascii="Gill Sans MT" w:hAnsi="Gill Sans MT" w:cs="Arial"/>
                <w:sz w:val="24"/>
                <w:szCs w:val="24"/>
              </w:rPr>
              <w:t>As part of their existing systems to audit compliance with NICE Guidance, mental health trusts and GP practices should pay particular attention to the requirements of guidance on the requirement for annual physical health checks. For NHS organisations they should consider capturing this within their quality accounts and for GP practices the information could form part of the evidence for their assessment of “Effectiveness” for CQC review as well as reporting for the</w:t>
            </w:r>
            <w:r>
              <w:rPr>
                <w:rFonts w:ascii="Gill Sans MT" w:hAnsi="Gill Sans MT" w:cs="Arial"/>
                <w:sz w:val="24"/>
                <w:szCs w:val="24"/>
              </w:rPr>
              <w:t xml:space="preserve"> quality and outcomes framework.</w:t>
            </w:r>
          </w:p>
        </w:tc>
        <w:tc>
          <w:tcPr>
            <w:tcW w:w="3119" w:type="dxa"/>
          </w:tcPr>
          <w:p w14:paraId="126B32B8" w14:textId="77777777" w:rsidR="00DC75FF" w:rsidRPr="005F51A5" w:rsidRDefault="00DC75FF" w:rsidP="0059028D">
            <w:pPr>
              <w:rPr>
                <w:sz w:val="24"/>
                <w:szCs w:val="24"/>
              </w:rPr>
            </w:pPr>
            <w:bookmarkStart w:id="1" w:name="_Hlk50643223"/>
            <w:proofErr w:type="spellStart"/>
            <w:r w:rsidRPr="005F51A5">
              <w:rPr>
                <w:sz w:val="24"/>
                <w:szCs w:val="24"/>
              </w:rPr>
              <w:t>Gps</w:t>
            </w:r>
            <w:proofErr w:type="spellEnd"/>
            <w:r w:rsidRPr="005F51A5">
              <w:rPr>
                <w:sz w:val="24"/>
                <w:szCs w:val="24"/>
              </w:rPr>
              <w:t xml:space="preserve"> in Greenwich to continue developing SMI (Severe Mental Illness) and </w:t>
            </w:r>
            <w:r>
              <w:rPr>
                <w:sz w:val="24"/>
                <w:szCs w:val="24"/>
              </w:rPr>
              <w:t xml:space="preserve">ensuring that </w:t>
            </w:r>
            <w:r w:rsidRPr="005F51A5">
              <w:rPr>
                <w:sz w:val="24"/>
                <w:szCs w:val="24"/>
              </w:rPr>
              <w:t>NICE clinical guideline on psychosis and schizophrenia in adults is followed</w:t>
            </w:r>
            <w:r>
              <w:rPr>
                <w:sz w:val="24"/>
                <w:szCs w:val="24"/>
              </w:rPr>
              <w:t>,</w:t>
            </w:r>
            <w:r w:rsidRPr="005F51A5">
              <w:rPr>
                <w:sz w:val="24"/>
                <w:szCs w:val="24"/>
              </w:rPr>
              <w:t xml:space="preserve"> in respect of monitoring the physical health of patients with SMI and ensuring patients with SMI have at least one physical health review annually. </w:t>
            </w:r>
          </w:p>
          <w:p w14:paraId="3585726B" w14:textId="77777777" w:rsidR="00DC75FF" w:rsidRDefault="00DC75FF" w:rsidP="0059028D">
            <w:pPr>
              <w:rPr>
                <w:rFonts w:eastAsia="Times New Roman"/>
                <w:color w:val="212121"/>
              </w:rPr>
            </w:pPr>
          </w:p>
          <w:p w14:paraId="5B8347D7" w14:textId="77777777" w:rsidR="00DC75FF" w:rsidRDefault="00DC75FF" w:rsidP="0059028D">
            <w:pPr>
              <w:rPr>
                <w:rFonts w:eastAsia="Times New Roman"/>
                <w:color w:val="212121"/>
              </w:rPr>
            </w:pPr>
          </w:p>
          <w:bookmarkEnd w:id="1"/>
          <w:p w14:paraId="5667DC32" w14:textId="77777777" w:rsidR="00DC75FF" w:rsidRPr="0059028D" w:rsidRDefault="00DC75FF" w:rsidP="0059028D">
            <w:pPr>
              <w:rPr>
                <w:rFonts w:eastAsia="Times New Roman"/>
                <w:sz w:val="24"/>
                <w:szCs w:val="24"/>
              </w:rPr>
            </w:pPr>
          </w:p>
        </w:tc>
        <w:tc>
          <w:tcPr>
            <w:tcW w:w="1701" w:type="dxa"/>
          </w:tcPr>
          <w:p w14:paraId="697742E1" w14:textId="77777777" w:rsidR="00DC75FF" w:rsidRDefault="00DC75FF" w:rsidP="00C459EF">
            <w:pPr>
              <w:jc w:val="center"/>
            </w:pPr>
            <w:r>
              <w:t>CCG- Designated nurse for adult safeguarding</w:t>
            </w:r>
          </w:p>
        </w:tc>
        <w:tc>
          <w:tcPr>
            <w:tcW w:w="1276" w:type="dxa"/>
          </w:tcPr>
          <w:p w14:paraId="1F4D8DFA" w14:textId="77777777" w:rsidR="00DC75FF" w:rsidRDefault="00DC75FF" w:rsidP="00C459EF">
            <w:pPr>
              <w:jc w:val="center"/>
            </w:pPr>
            <w:r>
              <w:t xml:space="preserve">Ongoing </w:t>
            </w:r>
          </w:p>
        </w:tc>
        <w:tc>
          <w:tcPr>
            <w:tcW w:w="1276" w:type="dxa"/>
            <w:gridSpan w:val="2"/>
            <w:shd w:val="clear" w:color="auto" w:fill="FFC000"/>
          </w:tcPr>
          <w:p w14:paraId="7D4C7A4C" w14:textId="77777777" w:rsidR="00DC75FF" w:rsidRDefault="00DC75FF" w:rsidP="00C459EF">
            <w:pPr>
              <w:jc w:val="center"/>
            </w:pPr>
          </w:p>
        </w:tc>
        <w:tc>
          <w:tcPr>
            <w:tcW w:w="4252" w:type="dxa"/>
            <w:gridSpan w:val="2"/>
          </w:tcPr>
          <w:p w14:paraId="79FCA493" w14:textId="41CD217E" w:rsidR="00DC75FF" w:rsidRPr="003B6BF4" w:rsidRDefault="003B6BF4" w:rsidP="003B6BF4">
            <w:pPr>
              <w:jc w:val="both"/>
              <w:rPr>
                <w:i/>
              </w:rPr>
            </w:pPr>
            <w:r w:rsidRPr="003B6BF4">
              <w:rPr>
                <w:i/>
              </w:rPr>
              <w:t>CCG Primary Care commissioners have an action plan in place to improve GP compliance with SMI annual health checks. As of November 2021, 13% of people on the SMI register have had a health check against a target of 60%</w:t>
            </w:r>
          </w:p>
        </w:tc>
      </w:tr>
      <w:tr w:rsidR="00DC75FF" w14:paraId="6D6E38C4" w14:textId="77777777" w:rsidTr="00BE2736">
        <w:trPr>
          <w:trHeight w:val="1875"/>
        </w:trPr>
        <w:tc>
          <w:tcPr>
            <w:tcW w:w="590" w:type="dxa"/>
            <w:vMerge/>
          </w:tcPr>
          <w:p w14:paraId="52699A47" w14:textId="77777777" w:rsidR="00DC75FF" w:rsidRDefault="00DC75FF" w:rsidP="00C459EF">
            <w:pPr>
              <w:jc w:val="center"/>
            </w:pPr>
          </w:p>
        </w:tc>
        <w:tc>
          <w:tcPr>
            <w:tcW w:w="3663" w:type="dxa"/>
            <w:vMerge/>
          </w:tcPr>
          <w:p w14:paraId="385083DD" w14:textId="77777777" w:rsidR="00DC75FF" w:rsidRPr="00344425" w:rsidRDefault="00DC75FF" w:rsidP="00344425">
            <w:pPr>
              <w:spacing w:after="120"/>
              <w:jc w:val="both"/>
              <w:rPr>
                <w:rFonts w:ascii="Gill Sans MT" w:hAnsi="Gill Sans MT" w:cs="Arial"/>
                <w:sz w:val="24"/>
                <w:szCs w:val="24"/>
              </w:rPr>
            </w:pPr>
          </w:p>
        </w:tc>
        <w:tc>
          <w:tcPr>
            <w:tcW w:w="3119" w:type="dxa"/>
          </w:tcPr>
          <w:p w14:paraId="03DF889C" w14:textId="77777777" w:rsidR="00DC75FF" w:rsidRDefault="00DC75FF" w:rsidP="0059028D">
            <w:pPr>
              <w:pStyle w:val="NormalWeb"/>
              <w:jc w:val="both"/>
              <w:rPr>
                <w:color w:val="000000"/>
                <w:sz w:val="24"/>
                <w:szCs w:val="24"/>
              </w:rPr>
            </w:pPr>
            <w:proofErr w:type="spellStart"/>
            <w:r w:rsidRPr="0059028D">
              <w:rPr>
                <w:rFonts w:eastAsia="Times New Roman"/>
                <w:color w:val="212121"/>
                <w:sz w:val="24"/>
                <w:szCs w:val="24"/>
              </w:rPr>
              <w:t>Oxleas</w:t>
            </w:r>
            <w:proofErr w:type="spellEnd"/>
            <w:r w:rsidRPr="0059028D">
              <w:rPr>
                <w:rFonts w:eastAsia="Times New Roman"/>
                <w:color w:val="212121"/>
                <w:sz w:val="24"/>
                <w:szCs w:val="24"/>
              </w:rPr>
              <w:t xml:space="preserve"> NHS Foundation Trust to ensure that Physical health monitoring is captured in line with </w:t>
            </w:r>
            <w:r w:rsidRPr="0059028D">
              <w:rPr>
                <w:rFonts w:eastAsia="Times New Roman"/>
                <w:sz w:val="24"/>
                <w:szCs w:val="24"/>
              </w:rPr>
              <w:t xml:space="preserve">national best practice and trust targets reported on in the </w:t>
            </w:r>
            <w:proofErr w:type="gramStart"/>
            <w:r w:rsidRPr="0059028D">
              <w:rPr>
                <w:rFonts w:eastAsia="Times New Roman"/>
                <w:sz w:val="24"/>
                <w:szCs w:val="24"/>
              </w:rPr>
              <w:t>organisations</w:t>
            </w:r>
            <w:proofErr w:type="gramEnd"/>
            <w:r w:rsidRPr="0059028D">
              <w:rPr>
                <w:rFonts w:eastAsia="Times New Roman"/>
                <w:sz w:val="24"/>
                <w:szCs w:val="24"/>
              </w:rPr>
              <w:t xml:space="preserve"> quality accounts </w:t>
            </w:r>
            <w:r w:rsidRPr="0059028D">
              <w:rPr>
                <w:rFonts w:eastAsia="Times New Roman"/>
                <w:color w:val="212121"/>
                <w:sz w:val="24"/>
                <w:szCs w:val="24"/>
              </w:rPr>
              <w:t>for patients on Care Programme Approach</w:t>
            </w:r>
          </w:p>
        </w:tc>
        <w:tc>
          <w:tcPr>
            <w:tcW w:w="1701" w:type="dxa"/>
          </w:tcPr>
          <w:p w14:paraId="31887B8D" w14:textId="77777777" w:rsidR="00DC75FF" w:rsidRDefault="00DC75FF" w:rsidP="00C459EF">
            <w:pPr>
              <w:jc w:val="center"/>
            </w:pPr>
            <w:proofErr w:type="spellStart"/>
            <w:r>
              <w:t>Oxleas</w:t>
            </w:r>
            <w:proofErr w:type="spellEnd"/>
            <w:r>
              <w:t xml:space="preserve"> Foundation Trust </w:t>
            </w:r>
          </w:p>
        </w:tc>
        <w:tc>
          <w:tcPr>
            <w:tcW w:w="1276" w:type="dxa"/>
          </w:tcPr>
          <w:p w14:paraId="5BF89082" w14:textId="1213A139" w:rsidR="00DC75FF" w:rsidRDefault="005554B4" w:rsidP="00D1561A">
            <w:r>
              <w:t xml:space="preserve">Completed </w:t>
            </w:r>
          </w:p>
        </w:tc>
        <w:tc>
          <w:tcPr>
            <w:tcW w:w="1276" w:type="dxa"/>
            <w:gridSpan w:val="2"/>
            <w:shd w:val="clear" w:color="auto" w:fill="92D050"/>
          </w:tcPr>
          <w:p w14:paraId="69CCC595" w14:textId="13C5CE44" w:rsidR="00DC75FF" w:rsidRDefault="00DC75FF" w:rsidP="00C459EF">
            <w:pPr>
              <w:jc w:val="center"/>
            </w:pPr>
          </w:p>
        </w:tc>
        <w:tc>
          <w:tcPr>
            <w:tcW w:w="4252" w:type="dxa"/>
            <w:gridSpan w:val="2"/>
          </w:tcPr>
          <w:p w14:paraId="6FC4D6B8" w14:textId="77777777" w:rsidR="00DC75FF" w:rsidRPr="008D5FC2" w:rsidRDefault="007578EE" w:rsidP="008D5FC2">
            <w:pPr>
              <w:rPr>
                <w:i/>
              </w:rPr>
            </w:pPr>
            <w:r w:rsidRPr="008D5FC2">
              <w:rPr>
                <w:i/>
              </w:rPr>
              <w:t xml:space="preserve">Physical health </w:t>
            </w:r>
            <w:r w:rsidR="008D5FC2" w:rsidRPr="008D5FC2">
              <w:rPr>
                <w:i/>
              </w:rPr>
              <w:t>monitoring</w:t>
            </w:r>
            <w:r w:rsidRPr="008D5FC2">
              <w:rPr>
                <w:i/>
              </w:rPr>
              <w:t xml:space="preserve"> was </w:t>
            </w:r>
            <w:r w:rsidR="002D2C1C" w:rsidRPr="008D5FC2">
              <w:rPr>
                <w:i/>
              </w:rPr>
              <w:t xml:space="preserve">recorded as a quality priority for 21-22 and reported in the quality </w:t>
            </w:r>
            <w:r w:rsidR="008D5FC2" w:rsidRPr="008D5FC2">
              <w:rPr>
                <w:i/>
              </w:rPr>
              <w:t>report</w:t>
            </w:r>
            <w:r w:rsidR="002D2C1C" w:rsidRPr="008D5FC2">
              <w:rPr>
                <w:i/>
              </w:rPr>
              <w:t xml:space="preserve"> 20-21</w:t>
            </w:r>
          </w:p>
        </w:tc>
      </w:tr>
      <w:tr w:rsidR="00DC75FF" w14:paraId="482CF90B" w14:textId="77777777" w:rsidTr="00BE2736">
        <w:trPr>
          <w:trHeight w:val="1253"/>
        </w:trPr>
        <w:tc>
          <w:tcPr>
            <w:tcW w:w="590" w:type="dxa"/>
          </w:tcPr>
          <w:p w14:paraId="3884B502" w14:textId="77777777" w:rsidR="00DC75FF" w:rsidRDefault="00DC75FF" w:rsidP="00C459EF">
            <w:pPr>
              <w:jc w:val="center"/>
            </w:pPr>
            <w:r>
              <w:t>5</w:t>
            </w:r>
          </w:p>
        </w:tc>
        <w:tc>
          <w:tcPr>
            <w:tcW w:w="3663" w:type="dxa"/>
          </w:tcPr>
          <w:p w14:paraId="5620E6AA" w14:textId="77777777" w:rsidR="00DC75FF" w:rsidRPr="00CC3EED" w:rsidRDefault="00DC75FF" w:rsidP="00344425">
            <w:pPr>
              <w:jc w:val="both"/>
              <w:rPr>
                <w:rFonts w:ascii="Gill Sans MT" w:hAnsi="Gill Sans MT" w:cs="Arial"/>
                <w:sz w:val="24"/>
                <w:szCs w:val="24"/>
              </w:rPr>
            </w:pPr>
            <w:r w:rsidRPr="00344425">
              <w:rPr>
                <w:rFonts w:ascii="Gill Sans MT" w:hAnsi="Gill Sans MT" w:cs="Arial"/>
                <w:sz w:val="24"/>
                <w:szCs w:val="24"/>
              </w:rPr>
              <w:t xml:space="preserve">All services should consider their oversight of patient and carer cancelled appointments. Whilst it would be impractical and inappropriate to review every individual appointment and it should be possible to flag multiple cancellations and for this to lead to </w:t>
            </w:r>
            <w:r w:rsidRPr="00344425">
              <w:rPr>
                <w:rFonts w:ascii="Gill Sans MT" w:hAnsi="Gill Sans MT" w:cs="Arial"/>
                <w:sz w:val="24"/>
                <w:szCs w:val="24"/>
              </w:rPr>
              <w:lastRenderedPageBreak/>
              <w:t>review if a threshold is reached. Such an approach might prompt further scrutiny and increased clinical curiosity</w:t>
            </w:r>
          </w:p>
        </w:tc>
        <w:tc>
          <w:tcPr>
            <w:tcW w:w="3119" w:type="dxa"/>
          </w:tcPr>
          <w:p w14:paraId="473DF8E6" w14:textId="77777777" w:rsidR="00DC75FF" w:rsidRDefault="00DC75FF" w:rsidP="00235591">
            <w:pPr>
              <w:pStyle w:val="NormalWeb"/>
              <w:rPr>
                <w:color w:val="000000"/>
                <w:sz w:val="24"/>
                <w:szCs w:val="24"/>
              </w:rPr>
            </w:pPr>
            <w:proofErr w:type="spellStart"/>
            <w:r>
              <w:rPr>
                <w:color w:val="000000"/>
                <w:sz w:val="24"/>
                <w:szCs w:val="24"/>
              </w:rPr>
              <w:lastRenderedPageBreak/>
              <w:t>Oxleas</w:t>
            </w:r>
            <w:proofErr w:type="spellEnd"/>
            <w:r>
              <w:rPr>
                <w:color w:val="000000"/>
                <w:sz w:val="24"/>
                <w:szCs w:val="24"/>
              </w:rPr>
              <w:t xml:space="preserve"> - to replicate the system for DNAs for cancelled appointments, where the service user or family member cancels an appointment twice in a row. This will be flagged up to the </w:t>
            </w:r>
            <w:r>
              <w:rPr>
                <w:color w:val="000000"/>
                <w:sz w:val="24"/>
                <w:szCs w:val="24"/>
              </w:rPr>
              <w:lastRenderedPageBreak/>
              <w:t xml:space="preserve">consultant to decide on further action. </w:t>
            </w:r>
          </w:p>
          <w:p w14:paraId="2F827409" w14:textId="77777777" w:rsidR="00DC75FF" w:rsidRDefault="00DC75FF" w:rsidP="00C459EF">
            <w:pPr>
              <w:jc w:val="center"/>
            </w:pPr>
          </w:p>
        </w:tc>
        <w:tc>
          <w:tcPr>
            <w:tcW w:w="1701" w:type="dxa"/>
          </w:tcPr>
          <w:p w14:paraId="3AAA4700" w14:textId="77777777" w:rsidR="00DC75FF" w:rsidRDefault="00DC75FF" w:rsidP="00C459EF">
            <w:pPr>
              <w:jc w:val="center"/>
            </w:pPr>
            <w:proofErr w:type="spellStart"/>
            <w:r>
              <w:lastRenderedPageBreak/>
              <w:t>Oxleas</w:t>
            </w:r>
            <w:proofErr w:type="spellEnd"/>
            <w:r>
              <w:t xml:space="preserve"> NHS Foundation Trust</w:t>
            </w:r>
          </w:p>
        </w:tc>
        <w:tc>
          <w:tcPr>
            <w:tcW w:w="1276" w:type="dxa"/>
          </w:tcPr>
          <w:p w14:paraId="31729AA6" w14:textId="77777777" w:rsidR="00DC75FF" w:rsidRDefault="00DC75FF" w:rsidP="00C459EF">
            <w:pPr>
              <w:jc w:val="center"/>
            </w:pPr>
            <w:r>
              <w:t xml:space="preserve">Complete </w:t>
            </w:r>
          </w:p>
        </w:tc>
        <w:tc>
          <w:tcPr>
            <w:tcW w:w="1276" w:type="dxa"/>
            <w:gridSpan w:val="2"/>
            <w:shd w:val="clear" w:color="auto" w:fill="92D050"/>
          </w:tcPr>
          <w:p w14:paraId="14A3AF5E" w14:textId="2A7FE83E" w:rsidR="00DC75FF" w:rsidRDefault="00DC75FF" w:rsidP="00C459EF">
            <w:pPr>
              <w:jc w:val="center"/>
            </w:pPr>
          </w:p>
        </w:tc>
        <w:tc>
          <w:tcPr>
            <w:tcW w:w="4252" w:type="dxa"/>
            <w:gridSpan w:val="2"/>
          </w:tcPr>
          <w:p w14:paraId="668B738D" w14:textId="7A744AA0" w:rsidR="002D2C1C" w:rsidRPr="008D5FC2" w:rsidRDefault="002D2C1C" w:rsidP="008D5FC2">
            <w:pPr>
              <w:rPr>
                <w:color w:val="000000"/>
              </w:rPr>
            </w:pPr>
            <w:r w:rsidRPr="008D5FC2">
              <w:rPr>
                <w:i/>
                <w:iCs/>
                <w:color w:val="000000"/>
              </w:rPr>
              <w:t xml:space="preserve">A system to flag concerns is in place for when </w:t>
            </w:r>
            <w:r w:rsidR="003D5F78">
              <w:rPr>
                <w:i/>
                <w:iCs/>
                <w:color w:val="000000"/>
              </w:rPr>
              <w:t>appointment am</w:t>
            </w:r>
            <w:r w:rsidR="008D5FC2">
              <w:rPr>
                <w:i/>
                <w:iCs/>
                <w:color w:val="000000"/>
              </w:rPr>
              <w:t xml:space="preserve"> is ca</w:t>
            </w:r>
            <w:r w:rsidR="008D5FC2" w:rsidRPr="008D5FC2">
              <w:rPr>
                <w:i/>
                <w:iCs/>
                <w:color w:val="000000"/>
              </w:rPr>
              <w:t>ncel</w:t>
            </w:r>
            <w:r w:rsidR="008D5FC2">
              <w:rPr>
                <w:i/>
                <w:iCs/>
                <w:color w:val="000000"/>
              </w:rPr>
              <w:t>led</w:t>
            </w:r>
            <w:r w:rsidR="008D5FC2" w:rsidRPr="008D5FC2">
              <w:rPr>
                <w:i/>
                <w:iCs/>
                <w:color w:val="000000"/>
              </w:rPr>
              <w:t xml:space="preserve"> and follows the same protocol as the </w:t>
            </w:r>
            <w:r w:rsidR="008D5FC2">
              <w:rPr>
                <w:i/>
                <w:iCs/>
                <w:color w:val="000000"/>
              </w:rPr>
              <w:t>“</w:t>
            </w:r>
            <w:r w:rsidR="008D5FC2" w:rsidRPr="008D5FC2">
              <w:rPr>
                <w:i/>
                <w:iCs/>
                <w:color w:val="000000"/>
              </w:rPr>
              <w:t>Do Not attend</w:t>
            </w:r>
            <w:r w:rsidR="008D5FC2">
              <w:rPr>
                <w:i/>
                <w:iCs/>
                <w:color w:val="000000"/>
              </w:rPr>
              <w:t>” (DNA)</w:t>
            </w:r>
            <w:r w:rsidR="008D5FC2" w:rsidRPr="008D5FC2">
              <w:rPr>
                <w:i/>
                <w:iCs/>
                <w:color w:val="000000"/>
              </w:rPr>
              <w:t xml:space="preserve"> procedure in that a </w:t>
            </w:r>
            <w:r w:rsidRPr="008D5FC2">
              <w:rPr>
                <w:i/>
                <w:iCs/>
                <w:color w:val="000000"/>
              </w:rPr>
              <w:t xml:space="preserve">telephone call is always made to the patient by the Clinician and the patient is discussed in MDT for their potential risks. </w:t>
            </w:r>
          </w:p>
          <w:p w14:paraId="0EDCD03A" w14:textId="77777777" w:rsidR="00DC75FF" w:rsidRDefault="00DC75FF" w:rsidP="00C459EF">
            <w:pPr>
              <w:jc w:val="center"/>
            </w:pPr>
          </w:p>
        </w:tc>
      </w:tr>
      <w:tr w:rsidR="00DC75FF" w14:paraId="475962A3" w14:textId="77777777" w:rsidTr="003D5F78">
        <w:trPr>
          <w:trHeight w:val="1260"/>
        </w:trPr>
        <w:tc>
          <w:tcPr>
            <w:tcW w:w="590" w:type="dxa"/>
          </w:tcPr>
          <w:p w14:paraId="56C5617C" w14:textId="77777777" w:rsidR="00DC75FF" w:rsidRDefault="00DC75FF" w:rsidP="00C459EF">
            <w:pPr>
              <w:jc w:val="center"/>
            </w:pPr>
            <w:r>
              <w:t>6</w:t>
            </w:r>
          </w:p>
        </w:tc>
        <w:tc>
          <w:tcPr>
            <w:tcW w:w="3663" w:type="dxa"/>
          </w:tcPr>
          <w:p w14:paraId="6D39C67C" w14:textId="77777777" w:rsidR="00DC75FF" w:rsidRDefault="00DC75FF" w:rsidP="00344425">
            <w:pPr>
              <w:jc w:val="both"/>
              <w:rPr>
                <w:rFonts w:ascii="Gill Sans MT" w:hAnsi="Gill Sans MT" w:cs="Arial"/>
                <w:sz w:val="24"/>
                <w:szCs w:val="24"/>
              </w:rPr>
            </w:pPr>
            <w:r w:rsidRPr="00344425">
              <w:rPr>
                <w:rFonts w:ascii="Gill Sans MT" w:hAnsi="Gill Sans MT" w:cs="Arial"/>
                <w:sz w:val="24"/>
                <w:szCs w:val="24"/>
              </w:rPr>
              <w:t>Consideration should be given to developing specific guidance for health and social care professionals in cases such as this where there is apparent engagement from a family but where there may be disguised compliance – this could also include advice on the issues of lack of access to a home, cancellation of appointments or repeated cancellation of appointments.</w:t>
            </w:r>
          </w:p>
          <w:p w14:paraId="5C806739" w14:textId="77777777" w:rsidR="00DC75FF" w:rsidRPr="00344425" w:rsidRDefault="00DC75FF" w:rsidP="00344425">
            <w:pPr>
              <w:jc w:val="both"/>
              <w:rPr>
                <w:rFonts w:ascii="Gill Sans MT" w:hAnsi="Gill Sans MT"/>
                <w:sz w:val="24"/>
                <w:szCs w:val="24"/>
              </w:rPr>
            </w:pPr>
          </w:p>
        </w:tc>
        <w:tc>
          <w:tcPr>
            <w:tcW w:w="3119" w:type="dxa"/>
          </w:tcPr>
          <w:p w14:paraId="4504F05D" w14:textId="77777777" w:rsidR="00DC75FF" w:rsidRDefault="00DC75FF" w:rsidP="00235591">
            <w:r>
              <w:t>Learning and Development Sub-group to ensure training is developed across the Safeguarding Adults Board partnership</w:t>
            </w:r>
          </w:p>
        </w:tc>
        <w:tc>
          <w:tcPr>
            <w:tcW w:w="1701" w:type="dxa"/>
          </w:tcPr>
          <w:p w14:paraId="698606E2" w14:textId="37D1434F" w:rsidR="00DC75FF" w:rsidRDefault="00DC75FF" w:rsidP="00C459EF">
            <w:pPr>
              <w:jc w:val="center"/>
            </w:pPr>
            <w:r>
              <w:t xml:space="preserve">Local Authority- </w:t>
            </w:r>
            <w:r w:rsidR="00C97119">
              <w:t xml:space="preserve">Learning and Development Sub-group </w:t>
            </w:r>
          </w:p>
        </w:tc>
        <w:tc>
          <w:tcPr>
            <w:tcW w:w="1276" w:type="dxa"/>
          </w:tcPr>
          <w:p w14:paraId="55C309E8" w14:textId="7ABF8F3D" w:rsidR="00DC75FF" w:rsidRDefault="00BE2736" w:rsidP="00C459EF">
            <w:pPr>
              <w:jc w:val="center"/>
            </w:pPr>
            <w:r>
              <w:t xml:space="preserve">Ongoing </w:t>
            </w:r>
          </w:p>
        </w:tc>
        <w:tc>
          <w:tcPr>
            <w:tcW w:w="1276" w:type="dxa"/>
            <w:gridSpan w:val="2"/>
            <w:shd w:val="clear" w:color="auto" w:fill="92D050"/>
          </w:tcPr>
          <w:p w14:paraId="365FE226" w14:textId="0FC36589" w:rsidR="00DC75FF" w:rsidRDefault="00DC75FF" w:rsidP="00C459EF">
            <w:pPr>
              <w:jc w:val="center"/>
            </w:pPr>
          </w:p>
        </w:tc>
        <w:tc>
          <w:tcPr>
            <w:tcW w:w="4252" w:type="dxa"/>
            <w:gridSpan w:val="2"/>
          </w:tcPr>
          <w:p w14:paraId="17738F9E" w14:textId="4E08210B" w:rsidR="00DC75FF" w:rsidRDefault="003D5F78" w:rsidP="00BE2736">
            <w:pPr>
              <w:jc w:val="both"/>
            </w:pPr>
            <w:r>
              <w:rPr>
                <w:i/>
              </w:rPr>
              <w:t xml:space="preserve">Safeguarding Adults Multi-Agency Self-neglect and hoarding policy created which gives guidance around non-engagement and supporting people who self-neglect. </w:t>
            </w:r>
            <w:r w:rsidR="00BE2736">
              <w:t xml:space="preserve"> </w:t>
            </w:r>
          </w:p>
        </w:tc>
      </w:tr>
    </w:tbl>
    <w:p w14:paraId="4B29D092" w14:textId="77777777" w:rsidR="00C247D4" w:rsidRDefault="00C247D4" w:rsidP="00C459EF">
      <w:pPr>
        <w:jc w:val="center"/>
      </w:pPr>
    </w:p>
    <w:sectPr w:rsidR="00C247D4" w:rsidSect="00EA1EDC">
      <w:headerReference w:type="default" r:id="rId7"/>
      <w:footerReference w:type="default" r:id="rId8"/>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3C5A" w14:textId="77777777" w:rsidR="00D80789" w:rsidRDefault="00D80789" w:rsidP="00C459EF">
      <w:pPr>
        <w:spacing w:after="0" w:line="240" w:lineRule="auto"/>
      </w:pPr>
      <w:r>
        <w:separator/>
      </w:r>
    </w:p>
  </w:endnote>
  <w:endnote w:type="continuationSeparator" w:id="0">
    <w:p w14:paraId="5D9D2CB7" w14:textId="77777777" w:rsidR="00D80789" w:rsidRDefault="00D80789" w:rsidP="00C4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9EA" w14:textId="603C03BD" w:rsidR="001C4E32" w:rsidRPr="001C4E32" w:rsidRDefault="00BE2736">
    <w:pPr>
      <w:pStyle w:val="Footer"/>
      <w:rPr>
        <w:lang w:val="en-US"/>
      </w:rPr>
    </w:pPr>
    <w:r>
      <w:rPr>
        <w:lang w:val="en-US"/>
      </w:rPr>
      <w:t xml:space="preserve">Update presented at </w:t>
    </w:r>
    <w:r w:rsidR="00B10D70">
      <w:rPr>
        <w:lang w:val="en-US"/>
      </w:rPr>
      <w:t xml:space="preserve">SAB </w:t>
    </w:r>
    <w:r>
      <w:rPr>
        <w:lang w:val="en-US"/>
      </w:rPr>
      <w:t>Nov</w:t>
    </w:r>
    <w:r w:rsidR="001C4E32">
      <w:rPr>
        <w:lang w:val="en-US"/>
      </w:rPr>
      <w:t xml:space="preserve"> 202</w:t>
    </w: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DB63" w14:textId="77777777" w:rsidR="00D80789" w:rsidRDefault="00D80789" w:rsidP="00C459EF">
      <w:pPr>
        <w:spacing w:after="0" w:line="240" w:lineRule="auto"/>
      </w:pPr>
      <w:r>
        <w:separator/>
      </w:r>
    </w:p>
  </w:footnote>
  <w:footnote w:type="continuationSeparator" w:id="0">
    <w:p w14:paraId="07203DCF" w14:textId="77777777" w:rsidR="00D80789" w:rsidRDefault="00D80789" w:rsidP="00C4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4839" w14:textId="77777777" w:rsidR="00C459EF" w:rsidRPr="00C459EF" w:rsidRDefault="00C459EF" w:rsidP="00C459EF">
    <w:pPr>
      <w:spacing w:after="0" w:line="240" w:lineRule="auto"/>
      <w:jc w:val="center"/>
      <w:rPr>
        <w:rFonts w:ascii="Gill Sans MT" w:hAnsi="Gill Sans MT"/>
        <w:b/>
        <w:sz w:val="24"/>
        <w:szCs w:val="24"/>
      </w:rPr>
    </w:pPr>
    <w:r w:rsidRPr="00C459EF">
      <w:rPr>
        <w:rFonts w:ascii="Gill Sans MT" w:hAnsi="Gill Sans MT"/>
        <w:noProof/>
        <w:lang w:eastAsia="en-GB"/>
      </w:rPr>
      <w:drawing>
        <wp:anchor distT="0" distB="0" distL="114300" distR="114300" simplePos="0" relativeHeight="251657216" behindDoc="1" locked="0" layoutInCell="1" allowOverlap="1" wp14:anchorId="46ADC9EA" wp14:editId="1427EBA7">
          <wp:simplePos x="0" y="0"/>
          <wp:positionH relativeFrom="page">
            <wp:posOffset>9129395</wp:posOffset>
          </wp:positionH>
          <wp:positionV relativeFrom="paragraph">
            <wp:posOffset>-448945</wp:posOffset>
          </wp:positionV>
          <wp:extent cx="1500506" cy="920148"/>
          <wp:effectExtent l="0" t="0" r="4445"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6" cy="920148"/>
                  </a:xfrm>
                  <a:prstGeom prst="rect">
                    <a:avLst/>
                  </a:prstGeom>
                  <a:noFill/>
                </pic:spPr>
              </pic:pic>
            </a:graphicData>
          </a:graphic>
          <wp14:sizeRelH relativeFrom="margin">
            <wp14:pctWidth>0</wp14:pctWidth>
          </wp14:sizeRelH>
          <wp14:sizeRelV relativeFrom="margin">
            <wp14:pctHeight>0</wp14:pctHeight>
          </wp14:sizeRelV>
        </wp:anchor>
      </w:drawing>
    </w:r>
    <w:r w:rsidRPr="00C459EF">
      <w:rPr>
        <w:rFonts w:ascii="Gill Sans MT" w:hAnsi="Gill Sans MT"/>
        <w:b/>
        <w:sz w:val="24"/>
        <w:szCs w:val="24"/>
      </w:rPr>
      <w:t>Safeguarding Adults Review (Mrs D)</w:t>
    </w:r>
  </w:p>
  <w:p w14:paraId="221162AA" w14:textId="28AF3276" w:rsidR="00C459EF" w:rsidRPr="009403B7" w:rsidRDefault="00C459EF" w:rsidP="009403B7">
    <w:pPr>
      <w:spacing w:after="0" w:line="240" w:lineRule="auto"/>
      <w:jc w:val="center"/>
      <w:rPr>
        <w:rFonts w:ascii="Gill Sans MT" w:hAnsi="Gill Sans MT"/>
        <w:b/>
        <w:sz w:val="24"/>
        <w:szCs w:val="24"/>
      </w:rPr>
    </w:pPr>
    <w:r w:rsidRPr="00C459EF">
      <w:rPr>
        <w:rFonts w:ascii="Gill Sans MT" w:hAnsi="Gill Sans MT"/>
        <w:b/>
        <w:sz w:val="24"/>
        <w:szCs w:val="24"/>
      </w:rPr>
      <w:t>Action Plan</w:t>
    </w:r>
    <w:r w:rsidR="00A425A4">
      <w:rPr>
        <w:rFonts w:ascii="Gill Sans MT" w:hAnsi="Gill Sans MT"/>
        <w:b/>
        <w:sz w:val="24"/>
        <w:szCs w:val="24"/>
      </w:rPr>
      <w:t xml:space="preserve"> Update </w:t>
    </w:r>
    <w:r w:rsidR="003D5F78">
      <w:rPr>
        <w:rFonts w:ascii="Gill Sans MT" w:hAnsi="Gill Sans MT"/>
        <w:b/>
        <w:sz w:val="24"/>
        <w:szCs w:val="24"/>
      </w:rPr>
      <w:t>Aug</w:t>
    </w:r>
    <w:r w:rsidR="00BE2736">
      <w:rPr>
        <w:rFonts w:ascii="Gill Sans MT" w:hAnsi="Gill Sans MT"/>
        <w:b/>
        <w:sz w:val="24"/>
        <w:szCs w:val="24"/>
      </w:rPr>
      <w:t xml:space="preserve"> 202</w:t>
    </w:r>
    <w:r w:rsidR="003D5F78">
      <w:rPr>
        <w:rFonts w:ascii="Gill Sans MT" w:hAnsi="Gill Sans MT"/>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A4A"/>
    <w:multiLevelType w:val="multilevel"/>
    <w:tmpl w:val="31026D9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5ED744E"/>
    <w:multiLevelType w:val="hybridMultilevel"/>
    <w:tmpl w:val="699E4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7450709">
    <w:abstractNumId w:val="0"/>
  </w:num>
  <w:num w:numId="2" w16cid:durableId="2146388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EF"/>
    <w:rsid w:val="00096C55"/>
    <w:rsid w:val="000E2823"/>
    <w:rsid w:val="001C4E32"/>
    <w:rsid w:val="001E08F7"/>
    <w:rsid w:val="00224DC5"/>
    <w:rsid w:val="002328F9"/>
    <w:rsid w:val="00235591"/>
    <w:rsid w:val="002D2C1C"/>
    <w:rsid w:val="0031382C"/>
    <w:rsid w:val="00327B25"/>
    <w:rsid w:val="00344425"/>
    <w:rsid w:val="003A3B51"/>
    <w:rsid w:val="003B6BF4"/>
    <w:rsid w:val="003D5F78"/>
    <w:rsid w:val="00463FCC"/>
    <w:rsid w:val="004B734E"/>
    <w:rsid w:val="004E437D"/>
    <w:rsid w:val="00535A45"/>
    <w:rsid w:val="005554B4"/>
    <w:rsid w:val="00567AD6"/>
    <w:rsid w:val="00572058"/>
    <w:rsid w:val="00587114"/>
    <w:rsid w:val="0059028D"/>
    <w:rsid w:val="005F51A5"/>
    <w:rsid w:val="00667AD1"/>
    <w:rsid w:val="00740B12"/>
    <w:rsid w:val="007578EE"/>
    <w:rsid w:val="0078377B"/>
    <w:rsid w:val="008D5FC2"/>
    <w:rsid w:val="009403B7"/>
    <w:rsid w:val="00961A61"/>
    <w:rsid w:val="0098752E"/>
    <w:rsid w:val="009A1581"/>
    <w:rsid w:val="00A425A4"/>
    <w:rsid w:val="00AA7295"/>
    <w:rsid w:val="00AF63C7"/>
    <w:rsid w:val="00B10D70"/>
    <w:rsid w:val="00B30686"/>
    <w:rsid w:val="00B830A2"/>
    <w:rsid w:val="00B866AA"/>
    <w:rsid w:val="00BB74E3"/>
    <w:rsid w:val="00BE2736"/>
    <w:rsid w:val="00C032BD"/>
    <w:rsid w:val="00C247D4"/>
    <w:rsid w:val="00C459EF"/>
    <w:rsid w:val="00C46DB3"/>
    <w:rsid w:val="00C97119"/>
    <w:rsid w:val="00CC3EED"/>
    <w:rsid w:val="00D1561A"/>
    <w:rsid w:val="00D80789"/>
    <w:rsid w:val="00DC60F8"/>
    <w:rsid w:val="00DC75FF"/>
    <w:rsid w:val="00E0496E"/>
    <w:rsid w:val="00E76110"/>
    <w:rsid w:val="00EA1EDC"/>
    <w:rsid w:val="00F77294"/>
    <w:rsid w:val="00FD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2E960"/>
  <w15:chartTrackingRefBased/>
  <w15:docId w15:val="{4E31FC64-208D-4070-AD9F-0C37781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9EF"/>
  </w:style>
  <w:style w:type="paragraph" w:styleId="Footer">
    <w:name w:val="footer"/>
    <w:basedOn w:val="Normal"/>
    <w:link w:val="FooterChar"/>
    <w:uiPriority w:val="99"/>
    <w:unhideWhenUsed/>
    <w:rsid w:val="00C4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9EF"/>
  </w:style>
  <w:style w:type="table" w:styleId="TableGrid">
    <w:name w:val="Table Grid"/>
    <w:basedOn w:val="TableNormal"/>
    <w:uiPriority w:val="39"/>
    <w:rsid w:val="00C4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71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114"/>
    <w:rPr>
      <w:sz w:val="20"/>
      <w:szCs w:val="20"/>
    </w:rPr>
  </w:style>
  <w:style w:type="character" w:styleId="FootnoteReference">
    <w:name w:val="footnote reference"/>
    <w:basedOn w:val="DefaultParagraphFont"/>
    <w:uiPriority w:val="99"/>
    <w:semiHidden/>
    <w:unhideWhenUsed/>
    <w:rsid w:val="00587114"/>
    <w:rPr>
      <w:vertAlign w:val="superscript"/>
    </w:rPr>
  </w:style>
  <w:style w:type="character" w:styleId="Hyperlink">
    <w:name w:val="Hyperlink"/>
    <w:uiPriority w:val="99"/>
    <w:unhideWhenUsed/>
    <w:rsid w:val="00587114"/>
    <w:rPr>
      <w:color w:val="0563C1"/>
      <w:u w:val="single"/>
    </w:rPr>
  </w:style>
  <w:style w:type="paragraph" w:styleId="NormalWeb">
    <w:name w:val="Normal (Web)"/>
    <w:basedOn w:val="Normal"/>
    <w:uiPriority w:val="99"/>
    <w:semiHidden/>
    <w:unhideWhenUsed/>
    <w:rsid w:val="00CC3EED"/>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C03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81">
      <w:bodyDiv w:val="1"/>
      <w:marLeft w:val="0"/>
      <w:marRight w:val="0"/>
      <w:marTop w:val="0"/>
      <w:marBottom w:val="0"/>
      <w:divBdr>
        <w:top w:val="none" w:sz="0" w:space="0" w:color="auto"/>
        <w:left w:val="none" w:sz="0" w:space="0" w:color="auto"/>
        <w:bottom w:val="none" w:sz="0" w:space="0" w:color="auto"/>
        <w:right w:val="none" w:sz="0" w:space="0" w:color="auto"/>
      </w:divBdr>
    </w:div>
    <w:div w:id="842013287">
      <w:bodyDiv w:val="1"/>
      <w:marLeft w:val="0"/>
      <w:marRight w:val="0"/>
      <w:marTop w:val="0"/>
      <w:marBottom w:val="0"/>
      <w:divBdr>
        <w:top w:val="none" w:sz="0" w:space="0" w:color="auto"/>
        <w:left w:val="none" w:sz="0" w:space="0" w:color="auto"/>
        <w:bottom w:val="none" w:sz="0" w:space="0" w:color="auto"/>
        <w:right w:val="none" w:sz="0" w:space="0" w:color="auto"/>
      </w:divBdr>
    </w:div>
    <w:div w:id="1123034059">
      <w:bodyDiv w:val="1"/>
      <w:marLeft w:val="0"/>
      <w:marRight w:val="0"/>
      <w:marTop w:val="0"/>
      <w:marBottom w:val="0"/>
      <w:divBdr>
        <w:top w:val="none" w:sz="0" w:space="0" w:color="auto"/>
        <w:left w:val="none" w:sz="0" w:space="0" w:color="auto"/>
        <w:bottom w:val="none" w:sz="0" w:space="0" w:color="auto"/>
        <w:right w:val="none" w:sz="0" w:space="0" w:color="auto"/>
      </w:divBdr>
    </w:div>
    <w:div w:id="1394236405">
      <w:bodyDiv w:val="1"/>
      <w:marLeft w:val="0"/>
      <w:marRight w:val="0"/>
      <w:marTop w:val="0"/>
      <w:marBottom w:val="0"/>
      <w:divBdr>
        <w:top w:val="none" w:sz="0" w:space="0" w:color="auto"/>
        <w:left w:val="none" w:sz="0" w:space="0" w:color="auto"/>
        <w:bottom w:val="none" w:sz="0" w:space="0" w:color="auto"/>
        <w:right w:val="none" w:sz="0" w:space="0" w:color="auto"/>
      </w:divBdr>
    </w:div>
    <w:div w:id="19654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Bonnewell</dc:creator>
  <cp:keywords/>
  <dc:description/>
  <cp:lastModifiedBy>Helen Bonnewell</cp:lastModifiedBy>
  <cp:revision>2</cp:revision>
  <cp:lastPrinted>2020-07-28T13:15:00Z</cp:lastPrinted>
  <dcterms:created xsi:type="dcterms:W3CDTF">2023-08-16T11:09:00Z</dcterms:created>
  <dcterms:modified xsi:type="dcterms:W3CDTF">2023-08-16T11:09:00Z</dcterms:modified>
</cp:coreProperties>
</file>