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260"/>
        <w:gridCol w:w="4394"/>
        <w:gridCol w:w="2126"/>
        <w:gridCol w:w="2694"/>
        <w:gridCol w:w="1417"/>
        <w:gridCol w:w="851"/>
      </w:tblGrid>
      <w:tr w:rsidR="00037A9F" w:rsidRPr="00535AD5" w14:paraId="1095E921" w14:textId="77777777" w:rsidTr="00DD20C8">
        <w:trPr>
          <w:cantSplit/>
          <w:trHeight w:val="1134"/>
        </w:trPr>
        <w:tc>
          <w:tcPr>
            <w:tcW w:w="597" w:type="dxa"/>
            <w:shd w:val="clear" w:color="auto" w:fill="F2F2F2"/>
          </w:tcPr>
          <w:p w14:paraId="433ACCC6" w14:textId="77777777" w:rsidR="00037A9F" w:rsidRPr="0096406E" w:rsidRDefault="00037A9F" w:rsidP="00726370">
            <w:pPr>
              <w:overflowPunct/>
              <w:autoSpaceDE/>
              <w:autoSpaceDN/>
              <w:adjustRightInd/>
              <w:jc w:val="left"/>
              <w:textAlignment w:val="auto"/>
              <w:rPr>
                <w:rFonts w:ascii="Calibri" w:eastAsia="Calibri" w:hAnsi="Calibri" w:cs="Calibri"/>
                <w:b/>
                <w:color w:val="44546A"/>
                <w:sz w:val="24"/>
                <w:szCs w:val="24"/>
              </w:rPr>
            </w:pPr>
            <w:r>
              <w:rPr>
                <w:rFonts w:ascii="Calibri" w:eastAsia="Calibri" w:hAnsi="Calibri" w:cs="Calibri"/>
                <w:b/>
                <w:color w:val="44546A"/>
                <w:sz w:val="24"/>
                <w:szCs w:val="24"/>
              </w:rPr>
              <w:t>No.</w:t>
            </w:r>
          </w:p>
        </w:tc>
        <w:tc>
          <w:tcPr>
            <w:tcW w:w="3260" w:type="dxa"/>
            <w:shd w:val="clear" w:color="auto" w:fill="F2F2F2"/>
          </w:tcPr>
          <w:p w14:paraId="41CE9D33" w14:textId="77777777" w:rsidR="00037A9F" w:rsidRPr="0025379D" w:rsidRDefault="00037A9F" w:rsidP="00726370">
            <w:pPr>
              <w:overflowPunct/>
              <w:autoSpaceDE/>
              <w:autoSpaceDN/>
              <w:adjustRightInd/>
              <w:ind w:left="-164"/>
              <w:jc w:val="center"/>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Recommendation</w:t>
            </w:r>
          </w:p>
        </w:tc>
        <w:tc>
          <w:tcPr>
            <w:tcW w:w="4394" w:type="dxa"/>
            <w:shd w:val="clear" w:color="auto" w:fill="F2F2F2"/>
          </w:tcPr>
          <w:p w14:paraId="2E717C21" w14:textId="77777777" w:rsidR="00037A9F" w:rsidRPr="0025379D" w:rsidRDefault="00037A9F" w:rsidP="00726370">
            <w:pPr>
              <w:overflowPunct/>
              <w:autoSpaceDE/>
              <w:autoSpaceDN/>
              <w:adjustRightInd/>
              <w:ind w:left="-162"/>
              <w:jc w:val="center"/>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Action Why</w:t>
            </w:r>
          </w:p>
          <w:p w14:paraId="52B3C638" w14:textId="77777777" w:rsidR="00037A9F" w:rsidRPr="0025379D" w:rsidRDefault="00037A9F" w:rsidP="00726370">
            <w:pPr>
              <w:overflowPunct/>
              <w:autoSpaceDE/>
              <w:autoSpaceDN/>
              <w:adjustRightInd/>
              <w:jc w:val="center"/>
              <w:textAlignment w:val="auto"/>
              <w:rPr>
                <w:rFonts w:asciiTheme="minorHAnsi" w:eastAsia="Calibri" w:hAnsiTheme="minorHAnsi" w:cstheme="minorHAnsi"/>
                <w:b/>
                <w:color w:val="44546A"/>
              </w:rPr>
            </w:pPr>
          </w:p>
        </w:tc>
        <w:tc>
          <w:tcPr>
            <w:tcW w:w="2126" w:type="dxa"/>
            <w:shd w:val="clear" w:color="auto" w:fill="F2F2F2"/>
          </w:tcPr>
          <w:p w14:paraId="55C83014" w14:textId="77777777" w:rsidR="00037A9F" w:rsidRPr="0025379D" w:rsidRDefault="00037A9F" w:rsidP="00726370">
            <w:pPr>
              <w:overflowPunct/>
              <w:autoSpaceDE/>
              <w:autoSpaceDN/>
              <w:adjustRightInd/>
              <w:ind w:left="-162"/>
              <w:jc w:val="center"/>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 xml:space="preserve">Who </w:t>
            </w:r>
          </w:p>
        </w:tc>
        <w:tc>
          <w:tcPr>
            <w:tcW w:w="2694" w:type="dxa"/>
            <w:shd w:val="clear" w:color="auto" w:fill="F2F2F2" w:themeFill="background1" w:themeFillShade="F2"/>
          </w:tcPr>
          <w:p w14:paraId="7BE95205" w14:textId="77777777" w:rsidR="00037A9F" w:rsidRPr="0025379D" w:rsidRDefault="00037A9F" w:rsidP="00726370">
            <w:pPr>
              <w:overflowPunct/>
              <w:autoSpaceDE/>
              <w:autoSpaceDN/>
              <w:adjustRightInd/>
              <w:ind w:left="-162"/>
              <w:jc w:val="center"/>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 xml:space="preserve">Update </w:t>
            </w:r>
          </w:p>
        </w:tc>
        <w:tc>
          <w:tcPr>
            <w:tcW w:w="1417" w:type="dxa"/>
            <w:shd w:val="clear" w:color="auto" w:fill="F2F2F2"/>
          </w:tcPr>
          <w:p w14:paraId="40FC7317" w14:textId="77777777" w:rsidR="00037A9F" w:rsidRPr="0025379D" w:rsidRDefault="00037A9F" w:rsidP="00726370">
            <w:pPr>
              <w:overflowPunct/>
              <w:autoSpaceDE/>
              <w:autoSpaceDN/>
              <w:adjustRightInd/>
              <w:ind w:left="-162"/>
              <w:jc w:val="center"/>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 xml:space="preserve">Time Frame          </w:t>
            </w:r>
          </w:p>
        </w:tc>
        <w:tc>
          <w:tcPr>
            <w:tcW w:w="851" w:type="dxa"/>
            <w:shd w:val="clear" w:color="auto" w:fill="F2F2F2"/>
          </w:tcPr>
          <w:p w14:paraId="2FD81B23" w14:textId="77777777" w:rsidR="00037A9F" w:rsidRPr="0025379D" w:rsidRDefault="00037A9F" w:rsidP="00C45371">
            <w:pPr>
              <w:overflowPunct/>
              <w:autoSpaceDE/>
              <w:autoSpaceDN/>
              <w:adjustRightInd/>
              <w:ind w:right="-112"/>
              <w:textAlignment w:val="auto"/>
              <w:rPr>
                <w:rFonts w:asciiTheme="minorHAnsi" w:eastAsia="Calibri" w:hAnsiTheme="minorHAnsi" w:cstheme="minorHAnsi"/>
                <w:b/>
                <w:color w:val="44546A"/>
              </w:rPr>
            </w:pPr>
            <w:r w:rsidRPr="0025379D">
              <w:rPr>
                <w:rFonts w:asciiTheme="minorHAnsi" w:eastAsia="Calibri" w:hAnsiTheme="minorHAnsi" w:cstheme="minorHAnsi"/>
                <w:b/>
                <w:color w:val="44546A"/>
              </w:rPr>
              <w:t>RAG</w:t>
            </w:r>
          </w:p>
        </w:tc>
      </w:tr>
      <w:tr w:rsidR="00037A9F" w:rsidRPr="00535AD5" w14:paraId="2A715B36" w14:textId="77777777" w:rsidTr="00CC4EAF">
        <w:tc>
          <w:tcPr>
            <w:tcW w:w="597" w:type="dxa"/>
          </w:tcPr>
          <w:p w14:paraId="621D618A"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1</w:t>
            </w:r>
          </w:p>
        </w:tc>
        <w:tc>
          <w:tcPr>
            <w:tcW w:w="3260" w:type="dxa"/>
          </w:tcPr>
          <w:p w14:paraId="1C33E113" w14:textId="77777777" w:rsidR="00037A9F" w:rsidRPr="0025379D" w:rsidRDefault="00037A9F" w:rsidP="00726370">
            <w:pPr>
              <w:tabs>
                <w:tab w:val="left" w:pos="0"/>
              </w:tabs>
              <w:overflowPunct/>
              <w:autoSpaceDE/>
              <w:autoSpaceDN/>
              <w:adjustRightInd/>
              <w:spacing w:line="276" w:lineRule="auto"/>
              <w:jc w:val="left"/>
              <w:textAlignment w:val="auto"/>
              <w:rPr>
                <w:rFonts w:asciiTheme="minorHAnsi" w:eastAsia="Calibri" w:hAnsiTheme="minorHAnsi" w:cstheme="minorHAnsi"/>
                <w:b/>
                <w:bCs/>
              </w:rPr>
            </w:pPr>
            <w:r w:rsidRPr="0025379D">
              <w:rPr>
                <w:rFonts w:asciiTheme="minorHAnsi" w:eastAsia="Calibri" w:hAnsiTheme="minorHAnsi" w:cstheme="minorHAnsi"/>
                <w:b/>
                <w:bCs/>
              </w:rPr>
              <w:t xml:space="preserve">Record Keeping </w:t>
            </w:r>
          </w:p>
          <w:p w14:paraId="0D4E45A3" w14:textId="77777777" w:rsidR="00037A9F" w:rsidRPr="0025379D" w:rsidRDefault="00037A9F" w:rsidP="00726370">
            <w:pPr>
              <w:tabs>
                <w:tab w:val="left" w:pos="0"/>
              </w:tabs>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The Care Home and Care Provider should address standards of record keeping. </w:t>
            </w:r>
          </w:p>
        </w:tc>
        <w:tc>
          <w:tcPr>
            <w:tcW w:w="4394" w:type="dxa"/>
          </w:tcPr>
          <w:p w14:paraId="0ED22661"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eastAsia="Calibri" w:hAnsiTheme="minorHAnsi" w:cstheme="minorHAnsi"/>
              </w:rPr>
              <w:t xml:space="preserve">As part of the </w:t>
            </w:r>
            <w:proofErr w:type="gramStart"/>
            <w:r w:rsidRPr="0025379D">
              <w:rPr>
                <w:rFonts w:asciiTheme="minorHAnsi" w:eastAsia="Calibri" w:hAnsiTheme="minorHAnsi" w:cstheme="minorHAnsi"/>
              </w:rPr>
              <w:t>Multi-agency</w:t>
            </w:r>
            <w:proofErr w:type="gramEnd"/>
            <w:r w:rsidRPr="0025379D">
              <w:rPr>
                <w:rFonts w:asciiTheme="minorHAnsi" w:eastAsia="Calibri" w:hAnsiTheme="minorHAnsi" w:cstheme="minorHAnsi"/>
              </w:rPr>
              <w:t xml:space="preserve"> choking risks action plan an audit was undertaken to ensure that choking risks were clearly identified on care plans. This work has subsequently been audited and continues to form part of the quality assurance monitoring undertaken by commissioners. </w:t>
            </w:r>
          </w:p>
        </w:tc>
        <w:tc>
          <w:tcPr>
            <w:tcW w:w="2126" w:type="dxa"/>
          </w:tcPr>
          <w:p w14:paraId="2F171881"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p w14:paraId="2413C85C"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Care Provider, Care Home, Clinical Commissioning Group (CCG) and Local Authority.</w:t>
            </w:r>
          </w:p>
        </w:tc>
        <w:tc>
          <w:tcPr>
            <w:tcW w:w="2694" w:type="dxa"/>
          </w:tcPr>
          <w:p w14:paraId="25FA2D71"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1417" w:type="dxa"/>
          </w:tcPr>
          <w:p w14:paraId="09AE0E7D"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Ongoing – green </w:t>
            </w:r>
          </w:p>
        </w:tc>
        <w:tc>
          <w:tcPr>
            <w:tcW w:w="851" w:type="dxa"/>
            <w:shd w:val="clear" w:color="auto" w:fill="92D050"/>
          </w:tcPr>
          <w:p w14:paraId="756E7AFE"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Green</w:t>
            </w:r>
          </w:p>
        </w:tc>
      </w:tr>
      <w:tr w:rsidR="00037A9F" w:rsidRPr="00535AD5" w14:paraId="4BCFD886" w14:textId="77777777" w:rsidTr="00CC4EAF">
        <w:trPr>
          <w:trHeight w:val="1616"/>
        </w:trPr>
        <w:tc>
          <w:tcPr>
            <w:tcW w:w="597" w:type="dxa"/>
          </w:tcPr>
          <w:p w14:paraId="59C4E0AF"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2</w:t>
            </w:r>
          </w:p>
        </w:tc>
        <w:tc>
          <w:tcPr>
            <w:tcW w:w="3260" w:type="dxa"/>
          </w:tcPr>
          <w:p w14:paraId="70EC9102"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b/>
                <w:bCs/>
              </w:rPr>
            </w:pPr>
            <w:r w:rsidRPr="0025379D">
              <w:rPr>
                <w:rFonts w:asciiTheme="minorHAnsi" w:eastAsia="Calibri" w:hAnsiTheme="minorHAnsi" w:cstheme="minorHAnsi"/>
                <w:b/>
                <w:bCs/>
              </w:rPr>
              <w:t xml:space="preserve">Investigation Recommendation Two: </w:t>
            </w:r>
          </w:p>
          <w:p w14:paraId="3E83E819" w14:textId="1865D90F" w:rsidR="0025379D"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The Care Provider needs to consider how speedy and thorough investigation can be undertaken. </w:t>
            </w:r>
          </w:p>
        </w:tc>
        <w:tc>
          <w:tcPr>
            <w:tcW w:w="4394" w:type="dxa"/>
          </w:tcPr>
          <w:p w14:paraId="656BCFFC"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Safeguarding team will offer a rolling programme of training to key stake holders including care home providers with due reference to undertaking safeguarding investigation in a timely fashion as well as communication with family members. </w:t>
            </w:r>
          </w:p>
        </w:tc>
        <w:tc>
          <w:tcPr>
            <w:tcW w:w="2126" w:type="dxa"/>
          </w:tcPr>
          <w:p w14:paraId="7416ECA2" w14:textId="4E4A6DDF"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Local Authority Safeguarding Team</w:t>
            </w:r>
          </w:p>
        </w:tc>
        <w:tc>
          <w:tcPr>
            <w:tcW w:w="2694" w:type="dxa"/>
          </w:tcPr>
          <w:p w14:paraId="2E80E6E2" w14:textId="4A182D40"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Safeguarding Adults Board has offered safeguarding training to both Care homes and home care agencies </w:t>
            </w:r>
            <w:proofErr w:type="gramStart"/>
            <w:r>
              <w:rPr>
                <w:rFonts w:asciiTheme="minorHAnsi" w:hAnsiTheme="minorHAnsi" w:cstheme="minorHAnsi"/>
                <w:lang w:eastAsia="en-GB"/>
              </w:rPr>
              <w:t>In</w:t>
            </w:r>
            <w:proofErr w:type="gramEnd"/>
            <w:r>
              <w:rPr>
                <w:rFonts w:asciiTheme="minorHAnsi" w:hAnsiTheme="minorHAnsi" w:cstheme="minorHAnsi"/>
                <w:lang w:eastAsia="en-GB"/>
              </w:rPr>
              <w:t xml:space="preserve"> the borough and will continue to respond to training needs of providers.</w:t>
            </w:r>
          </w:p>
        </w:tc>
        <w:tc>
          <w:tcPr>
            <w:tcW w:w="1417" w:type="dxa"/>
          </w:tcPr>
          <w:p w14:paraId="22263276" w14:textId="1420EDAB" w:rsidR="00DD20C8"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Ongoing </w:t>
            </w:r>
          </w:p>
        </w:tc>
        <w:tc>
          <w:tcPr>
            <w:tcW w:w="851" w:type="dxa"/>
            <w:shd w:val="clear" w:color="auto" w:fill="92D050"/>
          </w:tcPr>
          <w:p w14:paraId="2E6AA1D9"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0272CF2A" w14:textId="77777777" w:rsidTr="00CC4EAF">
        <w:trPr>
          <w:trHeight w:val="1187"/>
        </w:trPr>
        <w:tc>
          <w:tcPr>
            <w:tcW w:w="597" w:type="dxa"/>
            <w:vMerge w:val="restart"/>
          </w:tcPr>
          <w:p w14:paraId="7FB26C96"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3</w:t>
            </w:r>
          </w:p>
        </w:tc>
        <w:tc>
          <w:tcPr>
            <w:tcW w:w="3260" w:type="dxa"/>
            <w:vMerge w:val="restart"/>
          </w:tcPr>
          <w:p w14:paraId="7AFCA382"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b/>
                <w:bCs/>
              </w:rPr>
            </w:pPr>
            <w:r w:rsidRPr="0025379D">
              <w:rPr>
                <w:rFonts w:asciiTheme="minorHAnsi" w:eastAsia="Calibri" w:hAnsiTheme="minorHAnsi" w:cstheme="minorHAnsi"/>
                <w:b/>
                <w:bCs/>
              </w:rPr>
              <w:t xml:space="preserve">Investigation </w:t>
            </w:r>
          </w:p>
          <w:p w14:paraId="4919BD85"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b/>
                <w:bCs/>
              </w:rPr>
              <w:t>Recommendation Three:</w:t>
            </w:r>
            <w:r w:rsidRPr="0025379D">
              <w:rPr>
                <w:rFonts w:asciiTheme="minorHAnsi" w:eastAsia="Calibri" w:hAnsiTheme="minorHAnsi" w:cstheme="minorHAnsi"/>
              </w:rPr>
              <w:t xml:space="preserve"> The Local Authority should coordinate post incident investigation, with LAS, CQC, CCG, the Trust, GP, the Care Provider.</w:t>
            </w:r>
          </w:p>
        </w:tc>
        <w:tc>
          <w:tcPr>
            <w:tcW w:w="4394" w:type="dxa"/>
          </w:tcPr>
          <w:p w14:paraId="7B886490" w14:textId="77777777" w:rsidR="00037A9F" w:rsidRPr="0025379D" w:rsidRDefault="00037A9F" w:rsidP="002F54C4">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The Section 42 forms have subsequently changed and now clearly include level of risks and actions to mitigate risks with a clear timeline for follow up actions </w:t>
            </w:r>
          </w:p>
        </w:tc>
        <w:tc>
          <w:tcPr>
            <w:tcW w:w="2126" w:type="dxa"/>
          </w:tcPr>
          <w:p w14:paraId="3A86F2EE"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Local Authority  </w:t>
            </w:r>
          </w:p>
        </w:tc>
        <w:tc>
          <w:tcPr>
            <w:tcW w:w="2694" w:type="dxa"/>
          </w:tcPr>
          <w:p w14:paraId="66226FCC" w14:textId="5DBCF18C"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S42 forms amended and will continue to be reviewed. </w:t>
            </w:r>
          </w:p>
        </w:tc>
        <w:tc>
          <w:tcPr>
            <w:tcW w:w="1417" w:type="dxa"/>
          </w:tcPr>
          <w:p w14:paraId="5227CF0F"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Implemented </w:t>
            </w:r>
          </w:p>
        </w:tc>
        <w:tc>
          <w:tcPr>
            <w:tcW w:w="851" w:type="dxa"/>
            <w:shd w:val="clear" w:color="auto" w:fill="92D050"/>
          </w:tcPr>
          <w:p w14:paraId="5C3F4625"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Green </w:t>
            </w:r>
          </w:p>
        </w:tc>
      </w:tr>
      <w:tr w:rsidR="00037A9F" w:rsidRPr="00535AD5" w14:paraId="51B508D8" w14:textId="77777777" w:rsidTr="00CC4EAF">
        <w:trPr>
          <w:trHeight w:val="1345"/>
        </w:trPr>
        <w:tc>
          <w:tcPr>
            <w:tcW w:w="597" w:type="dxa"/>
            <w:vMerge/>
          </w:tcPr>
          <w:p w14:paraId="098229F2" w14:textId="77777777" w:rsidR="00037A9F" w:rsidRDefault="00037A9F" w:rsidP="00726370">
            <w:pPr>
              <w:overflowPunct/>
              <w:autoSpaceDE/>
              <w:autoSpaceDN/>
              <w:adjustRightInd/>
              <w:spacing w:line="276" w:lineRule="auto"/>
              <w:jc w:val="left"/>
              <w:textAlignment w:val="auto"/>
              <w:rPr>
                <w:rFonts w:ascii="Calibri" w:eastAsia="Calibri" w:hAnsi="Calibri" w:cs="Calibri"/>
                <w:sz w:val="24"/>
                <w:szCs w:val="24"/>
              </w:rPr>
            </w:pPr>
          </w:p>
        </w:tc>
        <w:tc>
          <w:tcPr>
            <w:tcW w:w="3260" w:type="dxa"/>
            <w:vMerge/>
          </w:tcPr>
          <w:p w14:paraId="618FD86B"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b/>
                <w:bCs/>
              </w:rPr>
            </w:pPr>
          </w:p>
        </w:tc>
        <w:tc>
          <w:tcPr>
            <w:tcW w:w="4394" w:type="dxa"/>
          </w:tcPr>
          <w:p w14:paraId="666E77D9"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eastAsia="Calibri" w:hAnsiTheme="minorHAnsi" w:cstheme="minorHAnsi"/>
              </w:rPr>
              <w:t>Enquiry officer training to reiterate the need to ensure a multi-disciplinary approach including LAS, CQC and CCG with actions, follow up and closure of the investigation clearly communicated.</w:t>
            </w:r>
          </w:p>
        </w:tc>
        <w:tc>
          <w:tcPr>
            <w:tcW w:w="2126" w:type="dxa"/>
          </w:tcPr>
          <w:p w14:paraId="36F89B78"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Local Authority </w:t>
            </w:r>
          </w:p>
        </w:tc>
        <w:tc>
          <w:tcPr>
            <w:tcW w:w="2694" w:type="dxa"/>
          </w:tcPr>
          <w:p w14:paraId="7A712A0D" w14:textId="67317C37"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Rolling programme of enquiry and SAM training is delivered to staff throughout the year and highlights the need for a multi-agency approach</w:t>
            </w:r>
          </w:p>
        </w:tc>
        <w:tc>
          <w:tcPr>
            <w:tcW w:w="1417" w:type="dxa"/>
          </w:tcPr>
          <w:p w14:paraId="62671E4B" w14:textId="11D10ADE"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Complete </w:t>
            </w:r>
          </w:p>
        </w:tc>
        <w:tc>
          <w:tcPr>
            <w:tcW w:w="851" w:type="dxa"/>
            <w:shd w:val="clear" w:color="auto" w:fill="92D050"/>
          </w:tcPr>
          <w:p w14:paraId="290220E7"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0B0C2E72" w14:textId="77777777" w:rsidTr="00DD20C8">
        <w:trPr>
          <w:trHeight w:val="910"/>
        </w:trPr>
        <w:tc>
          <w:tcPr>
            <w:tcW w:w="597" w:type="dxa"/>
            <w:vMerge w:val="restart"/>
          </w:tcPr>
          <w:p w14:paraId="292138E3"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4</w:t>
            </w:r>
          </w:p>
        </w:tc>
        <w:tc>
          <w:tcPr>
            <w:tcW w:w="3260" w:type="dxa"/>
            <w:vMerge w:val="restart"/>
          </w:tcPr>
          <w:p w14:paraId="7A901DF3"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b/>
              </w:rPr>
            </w:pPr>
            <w:r w:rsidRPr="0025379D">
              <w:rPr>
                <w:rFonts w:asciiTheme="minorHAnsi" w:eastAsia="Calibri" w:hAnsiTheme="minorHAnsi" w:cstheme="minorHAnsi"/>
                <w:b/>
              </w:rPr>
              <w:t>Transfer of Speech and Language Therapy (SALT) information</w:t>
            </w:r>
          </w:p>
          <w:p w14:paraId="05D9EA0B"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rPr>
            </w:pPr>
            <w:r w:rsidRPr="0025379D">
              <w:rPr>
                <w:rFonts w:asciiTheme="minorHAnsi" w:eastAsia="Calibri" w:hAnsiTheme="minorHAnsi" w:cstheme="minorHAnsi"/>
              </w:rPr>
              <w:lastRenderedPageBreak/>
              <w:t xml:space="preserve">Trusts and Community Services should review arrangements for discharge and follow up. </w:t>
            </w:r>
          </w:p>
        </w:tc>
        <w:tc>
          <w:tcPr>
            <w:tcW w:w="4394" w:type="dxa"/>
          </w:tcPr>
          <w:p w14:paraId="13F457BA"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lastRenderedPageBreak/>
              <w:t xml:space="preserve">To ensure work identified by the </w:t>
            </w:r>
            <w:proofErr w:type="gramStart"/>
            <w:r w:rsidRPr="0025379D">
              <w:rPr>
                <w:rFonts w:asciiTheme="minorHAnsi" w:hAnsiTheme="minorHAnsi" w:cstheme="minorHAnsi"/>
                <w:lang w:eastAsia="en-GB"/>
              </w:rPr>
              <w:t>Multi-agency</w:t>
            </w:r>
            <w:proofErr w:type="gramEnd"/>
            <w:r w:rsidRPr="0025379D">
              <w:rPr>
                <w:rFonts w:asciiTheme="minorHAnsi" w:hAnsiTheme="minorHAnsi" w:cstheme="minorHAnsi"/>
                <w:lang w:eastAsia="en-GB"/>
              </w:rPr>
              <w:t xml:space="preserve"> choking risk action plan is completed in relation to Hospital SALT discharge pathways and sharing information. </w:t>
            </w:r>
          </w:p>
        </w:tc>
        <w:tc>
          <w:tcPr>
            <w:tcW w:w="2126" w:type="dxa"/>
          </w:tcPr>
          <w:p w14:paraId="1FD64919" w14:textId="77777777" w:rsidR="00037A9F" w:rsidRPr="0025379D" w:rsidRDefault="006E6369"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Clinical Commissioning Group (CCG)</w:t>
            </w:r>
          </w:p>
        </w:tc>
        <w:tc>
          <w:tcPr>
            <w:tcW w:w="2694" w:type="dxa"/>
          </w:tcPr>
          <w:p w14:paraId="7ABF0557"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1417" w:type="dxa"/>
          </w:tcPr>
          <w:p w14:paraId="0D3CE2D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851" w:type="dxa"/>
          </w:tcPr>
          <w:p w14:paraId="73D69B2E"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434D3302" w14:textId="77777777" w:rsidTr="00CC4EAF">
        <w:trPr>
          <w:trHeight w:val="1170"/>
        </w:trPr>
        <w:tc>
          <w:tcPr>
            <w:tcW w:w="597" w:type="dxa"/>
            <w:vMerge/>
          </w:tcPr>
          <w:p w14:paraId="6D5E9345" w14:textId="77777777" w:rsidR="00037A9F" w:rsidRDefault="00037A9F" w:rsidP="00726370">
            <w:pPr>
              <w:overflowPunct/>
              <w:autoSpaceDE/>
              <w:autoSpaceDN/>
              <w:adjustRightInd/>
              <w:spacing w:line="276" w:lineRule="auto"/>
              <w:jc w:val="left"/>
              <w:textAlignment w:val="auto"/>
              <w:rPr>
                <w:rFonts w:ascii="Calibri" w:eastAsia="Calibri" w:hAnsi="Calibri" w:cs="Calibri"/>
                <w:sz w:val="24"/>
                <w:szCs w:val="24"/>
              </w:rPr>
            </w:pPr>
          </w:p>
        </w:tc>
        <w:tc>
          <w:tcPr>
            <w:tcW w:w="3260" w:type="dxa"/>
            <w:vMerge/>
          </w:tcPr>
          <w:p w14:paraId="60449F52"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b/>
              </w:rPr>
            </w:pPr>
          </w:p>
        </w:tc>
        <w:tc>
          <w:tcPr>
            <w:tcW w:w="4394" w:type="dxa"/>
          </w:tcPr>
          <w:p w14:paraId="43A1044D"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rPr>
            </w:pPr>
            <w:r w:rsidRPr="0025379D">
              <w:rPr>
                <w:rFonts w:asciiTheme="minorHAnsi" w:hAnsiTheme="minorHAnsi" w:cstheme="minorHAnsi"/>
              </w:rPr>
              <w:t>All nursing homes are now supported by GP services commissioned by the CCG</w:t>
            </w:r>
          </w:p>
        </w:tc>
        <w:tc>
          <w:tcPr>
            <w:tcW w:w="2126" w:type="dxa"/>
          </w:tcPr>
          <w:p w14:paraId="132ECCF3" w14:textId="77777777" w:rsidR="00037A9F" w:rsidRPr="0025379D" w:rsidRDefault="006E6369" w:rsidP="00726370">
            <w:pPr>
              <w:overflowPunct/>
              <w:autoSpaceDE/>
              <w:autoSpaceDN/>
              <w:adjustRightInd/>
              <w:spacing w:line="276" w:lineRule="auto"/>
              <w:jc w:val="left"/>
              <w:textAlignment w:val="auto"/>
              <w:rPr>
                <w:rFonts w:asciiTheme="minorHAnsi" w:hAnsiTheme="minorHAnsi" w:cstheme="minorHAnsi"/>
              </w:rPr>
            </w:pPr>
            <w:r w:rsidRPr="0025379D">
              <w:rPr>
                <w:rFonts w:asciiTheme="minorHAnsi" w:hAnsiTheme="minorHAnsi" w:cstheme="minorHAnsi"/>
                <w:lang w:eastAsia="en-GB"/>
              </w:rPr>
              <w:t>Clinical Commissioning Group (CCG)</w:t>
            </w:r>
          </w:p>
        </w:tc>
        <w:tc>
          <w:tcPr>
            <w:tcW w:w="2694" w:type="dxa"/>
          </w:tcPr>
          <w:p w14:paraId="05794AFE" w14:textId="1D3D775E"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Implemented and in place </w:t>
            </w:r>
          </w:p>
        </w:tc>
        <w:tc>
          <w:tcPr>
            <w:tcW w:w="1417" w:type="dxa"/>
          </w:tcPr>
          <w:p w14:paraId="193E950B"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Implemented </w:t>
            </w:r>
          </w:p>
        </w:tc>
        <w:tc>
          <w:tcPr>
            <w:tcW w:w="851" w:type="dxa"/>
            <w:shd w:val="clear" w:color="auto" w:fill="92D050"/>
          </w:tcPr>
          <w:p w14:paraId="10E8854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Green </w:t>
            </w:r>
          </w:p>
        </w:tc>
      </w:tr>
      <w:tr w:rsidR="00037A9F" w:rsidRPr="00535AD5" w14:paraId="213947FB" w14:textId="77777777" w:rsidTr="00DD20C8">
        <w:trPr>
          <w:trHeight w:val="855"/>
        </w:trPr>
        <w:tc>
          <w:tcPr>
            <w:tcW w:w="597" w:type="dxa"/>
            <w:vMerge/>
          </w:tcPr>
          <w:p w14:paraId="03AA9B23" w14:textId="77777777" w:rsidR="00037A9F" w:rsidRDefault="00037A9F" w:rsidP="00726370">
            <w:pPr>
              <w:overflowPunct/>
              <w:autoSpaceDE/>
              <w:autoSpaceDN/>
              <w:adjustRightInd/>
              <w:spacing w:line="276" w:lineRule="auto"/>
              <w:jc w:val="left"/>
              <w:textAlignment w:val="auto"/>
              <w:rPr>
                <w:rFonts w:ascii="Calibri" w:eastAsia="Calibri" w:hAnsi="Calibri" w:cs="Calibri"/>
                <w:sz w:val="24"/>
                <w:szCs w:val="24"/>
              </w:rPr>
            </w:pPr>
          </w:p>
        </w:tc>
        <w:tc>
          <w:tcPr>
            <w:tcW w:w="3260" w:type="dxa"/>
            <w:vMerge/>
          </w:tcPr>
          <w:p w14:paraId="430E4529"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b/>
              </w:rPr>
            </w:pPr>
          </w:p>
        </w:tc>
        <w:tc>
          <w:tcPr>
            <w:tcW w:w="4394" w:type="dxa"/>
          </w:tcPr>
          <w:p w14:paraId="15801F9F"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rPr>
              <w:t>To ensure the use of the red bag scheme is being used by all care providers.</w:t>
            </w:r>
          </w:p>
        </w:tc>
        <w:tc>
          <w:tcPr>
            <w:tcW w:w="2126" w:type="dxa"/>
          </w:tcPr>
          <w:p w14:paraId="6F49D58D"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rPr>
            </w:pPr>
            <w:r w:rsidRPr="0025379D">
              <w:rPr>
                <w:rFonts w:asciiTheme="minorHAnsi" w:hAnsiTheme="minorHAnsi" w:cstheme="minorHAnsi"/>
              </w:rPr>
              <w:t xml:space="preserve">Local Authority Commissioners </w:t>
            </w:r>
          </w:p>
        </w:tc>
        <w:tc>
          <w:tcPr>
            <w:tcW w:w="2694" w:type="dxa"/>
          </w:tcPr>
          <w:p w14:paraId="7E92644D"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1417" w:type="dxa"/>
          </w:tcPr>
          <w:p w14:paraId="511ED555" w14:textId="4ECEBC3B"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Ongoing </w:t>
            </w:r>
          </w:p>
        </w:tc>
        <w:tc>
          <w:tcPr>
            <w:tcW w:w="851" w:type="dxa"/>
          </w:tcPr>
          <w:p w14:paraId="26EB055B"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1658D0DC" w14:textId="77777777" w:rsidTr="00CC4EAF">
        <w:tc>
          <w:tcPr>
            <w:tcW w:w="597" w:type="dxa"/>
          </w:tcPr>
          <w:p w14:paraId="2D8B2C72" w14:textId="77777777" w:rsidR="00037A9F" w:rsidRPr="00CE2D2A" w:rsidRDefault="00037A9F" w:rsidP="00726370">
            <w:pPr>
              <w:tabs>
                <w:tab w:val="left" w:pos="3645"/>
                <w:tab w:val="right" w:pos="4861"/>
              </w:tabs>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5</w:t>
            </w:r>
          </w:p>
        </w:tc>
        <w:tc>
          <w:tcPr>
            <w:tcW w:w="3260" w:type="dxa"/>
          </w:tcPr>
          <w:p w14:paraId="4F34D719"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rPr>
            </w:pPr>
            <w:r w:rsidRPr="0025379D">
              <w:rPr>
                <w:rFonts w:asciiTheme="minorHAnsi" w:eastAsia="Calibri" w:hAnsiTheme="minorHAnsi" w:cstheme="minorHAnsi"/>
                <w:b/>
                <w:bCs/>
              </w:rPr>
              <w:t>Communication with Family</w:t>
            </w:r>
          </w:p>
          <w:p w14:paraId="392CB113" w14:textId="77777777" w:rsidR="00037A9F" w:rsidRPr="0025379D" w:rsidRDefault="00037A9F" w:rsidP="00726370">
            <w:pPr>
              <w:overflowPunct/>
              <w:autoSpaceDE/>
              <w:autoSpaceDN/>
              <w:adjustRightInd/>
              <w:spacing w:line="276" w:lineRule="auto"/>
              <w:contextualSpacing/>
              <w:jc w:val="left"/>
              <w:textAlignment w:val="auto"/>
              <w:rPr>
                <w:rFonts w:asciiTheme="minorHAnsi" w:eastAsia="Calibri" w:hAnsiTheme="minorHAnsi" w:cstheme="minorHAnsi"/>
              </w:rPr>
            </w:pPr>
            <w:r w:rsidRPr="0025379D">
              <w:rPr>
                <w:rFonts w:asciiTheme="minorHAnsi" w:eastAsia="Calibri" w:hAnsiTheme="minorHAnsi" w:cstheme="minorHAnsi"/>
              </w:rPr>
              <w:t xml:space="preserve">The Care Provider should review arrangements for investigation and communicating with families after serious adverse events and in relation to complaints handling. </w:t>
            </w:r>
          </w:p>
        </w:tc>
        <w:tc>
          <w:tcPr>
            <w:tcW w:w="4394" w:type="dxa"/>
          </w:tcPr>
          <w:p w14:paraId="0291FB53" w14:textId="15C411F8" w:rsidR="00037A9F" w:rsidRPr="0025379D" w:rsidRDefault="0025379D" w:rsidP="0035123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Safeguarding team will offer a rolling programme of training to key stake holders including care home providers with due reference to undertaking safeguarding investigation in a timely fashion as well as communication with family members.</w:t>
            </w:r>
          </w:p>
        </w:tc>
        <w:tc>
          <w:tcPr>
            <w:tcW w:w="2126" w:type="dxa"/>
          </w:tcPr>
          <w:p w14:paraId="3563555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Local Authority Safeguarding Team </w:t>
            </w:r>
          </w:p>
        </w:tc>
        <w:tc>
          <w:tcPr>
            <w:tcW w:w="2694" w:type="dxa"/>
          </w:tcPr>
          <w:p w14:paraId="3ECD3782" w14:textId="15110638" w:rsidR="00037A9F" w:rsidRPr="0025379D" w:rsidRDefault="00CC4EAF"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Safeguarding Adults Board has offered safeguarding training to both Care homes and home care agencies </w:t>
            </w:r>
            <w:proofErr w:type="gramStart"/>
            <w:r>
              <w:rPr>
                <w:rFonts w:asciiTheme="minorHAnsi" w:hAnsiTheme="minorHAnsi" w:cstheme="minorHAnsi"/>
                <w:lang w:eastAsia="en-GB"/>
              </w:rPr>
              <w:t>In</w:t>
            </w:r>
            <w:proofErr w:type="gramEnd"/>
            <w:r>
              <w:rPr>
                <w:rFonts w:asciiTheme="minorHAnsi" w:hAnsiTheme="minorHAnsi" w:cstheme="minorHAnsi"/>
                <w:lang w:eastAsia="en-GB"/>
              </w:rPr>
              <w:t xml:space="preserve"> the borough and will continue to respond to training needs of providers. </w:t>
            </w:r>
          </w:p>
        </w:tc>
        <w:tc>
          <w:tcPr>
            <w:tcW w:w="1417" w:type="dxa"/>
          </w:tcPr>
          <w:p w14:paraId="61D74559" w14:textId="417A1ABA"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Ongoing </w:t>
            </w:r>
          </w:p>
        </w:tc>
        <w:tc>
          <w:tcPr>
            <w:tcW w:w="851" w:type="dxa"/>
            <w:shd w:val="clear" w:color="auto" w:fill="92D050"/>
          </w:tcPr>
          <w:p w14:paraId="1A8C6058"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081654D3" w14:textId="77777777" w:rsidTr="00DD20C8">
        <w:tc>
          <w:tcPr>
            <w:tcW w:w="597" w:type="dxa"/>
          </w:tcPr>
          <w:p w14:paraId="685146EF" w14:textId="77777777" w:rsidR="00037A9F" w:rsidRPr="00CE2D2A" w:rsidRDefault="00037A9F" w:rsidP="00726370">
            <w:pPr>
              <w:tabs>
                <w:tab w:val="left" w:pos="3645"/>
                <w:tab w:val="right" w:pos="4861"/>
              </w:tabs>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6</w:t>
            </w:r>
          </w:p>
        </w:tc>
        <w:tc>
          <w:tcPr>
            <w:tcW w:w="3260" w:type="dxa"/>
          </w:tcPr>
          <w:p w14:paraId="111B35D0"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b/>
              </w:rPr>
              <w:t>Emergency Response</w:t>
            </w:r>
            <w:r w:rsidRPr="0025379D">
              <w:rPr>
                <w:rFonts w:asciiTheme="minorHAnsi" w:eastAsia="Calibri" w:hAnsiTheme="minorHAnsi" w:cstheme="minorHAnsi"/>
              </w:rPr>
              <w:tab/>
            </w:r>
            <w:r w:rsidRPr="0025379D">
              <w:rPr>
                <w:rFonts w:asciiTheme="minorHAnsi" w:eastAsia="Calibri" w:hAnsiTheme="minorHAnsi" w:cstheme="minorHAnsi"/>
                <w:b/>
                <w:bCs/>
              </w:rPr>
              <w:t>:</w:t>
            </w:r>
            <w:r w:rsidRPr="0025379D">
              <w:rPr>
                <w:rFonts w:asciiTheme="minorHAnsi" w:eastAsia="Calibri" w:hAnsiTheme="minorHAnsi" w:cstheme="minorHAnsi"/>
              </w:rPr>
              <w:t xml:space="preserve"> </w:t>
            </w:r>
          </w:p>
          <w:p w14:paraId="5BEC311F"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The Care Provider should review HR procedures and practices to ensure sustained recruitment, retention, training and support of those with the right values to care for older people. </w:t>
            </w:r>
          </w:p>
        </w:tc>
        <w:tc>
          <w:tcPr>
            <w:tcW w:w="4394" w:type="dxa"/>
          </w:tcPr>
          <w:p w14:paraId="0F2553D2"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Commissioners to ensure that emergency policies and protocols are in place and records and reporting to regulators is undertaken.</w:t>
            </w:r>
          </w:p>
          <w:p w14:paraId="260D65CC"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p w14:paraId="6B071A06"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p>
        </w:tc>
        <w:tc>
          <w:tcPr>
            <w:tcW w:w="2126" w:type="dxa"/>
          </w:tcPr>
          <w:p w14:paraId="0A7E4CFF"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Care Provider, Care Home, CCG, Local Authority</w:t>
            </w:r>
          </w:p>
        </w:tc>
        <w:tc>
          <w:tcPr>
            <w:tcW w:w="2694" w:type="dxa"/>
          </w:tcPr>
          <w:p w14:paraId="2A5C8D02"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1417" w:type="dxa"/>
          </w:tcPr>
          <w:p w14:paraId="3B9A4C4F" w14:textId="2EEEACC8"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Ongoing </w:t>
            </w:r>
          </w:p>
        </w:tc>
        <w:tc>
          <w:tcPr>
            <w:tcW w:w="851" w:type="dxa"/>
          </w:tcPr>
          <w:p w14:paraId="296E5096"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r>
      <w:tr w:rsidR="00037A9F" w:rsidRPr="00535AD5" w14:paraId="42B91E7D" w14:textId="77777777" w:rsidTr="00CC4EAF">
        <w:tc>
          <w:tcPr>
            <w:tcW w:w="597" w:type="dxa"/>
          </w:tcPr>
          <w:p w14:paraId="5BC0DD52"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7</w:t>
            </w:r>
          </w:p>
        </w:tc>
        <w:tc>
          <w:tcPr>
            <w:tcW w:w="3260" w:type="dxa"/>
          </w:tcPr>
          <w:p w14:paraId="10F7753F"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b/>
                <w:bCs/>
              </w:rPr>
              <w:t>999 Emergency Call:</w:t>
            </w:r>
            <w:r w:rsidRPr="0025379D">
              <w:rPr>
                <w:rFonts w:asciiTheme="minorHAnsi" w:eastAsia="Calibri" w:hAnsiTheme="minorHAnsi" w:cstheme="minorHAnsi"/>
              </w:rPr>
              <w:t xml:space="preserve"> The training programme for Call-Handlers should identify this type of risk and ensure accurate first accounts are taken and transcribed. </w:t>
            </w:r>
          </w:p>
        </w:tc>
        <w:tc>
          <w:tcPr>
            <w:tcW w:w="4394" w:type="dxa"/>
          </w:tcPr>
          <w:p w14:paraId="0059BF4B"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highlight w:val="yellow"/>
                <w:lang w:eastAsia="en-GB"/>
              </w:rPr>
            </w:pPr>
          </w:p>
          <w:p w14:paraId="4818A8DA" w14:textId="77777777" w:rsidR="0025379D" w:rsidRPr="0025379D" w:rsidRDefault="0025379D" w:rsidP="0025379D">
            <w:pPr>
              <w:overflowPunct/>
              <w:autoSpaceDE/>
              <w:adjustRightInd/>
              <w:spacing w:line="276" w:lineRule="auto"/>
              <w:jc w:val="left"/>
              <w:rPr>
                <w:rFonts w:ascii="Calibri" w:hAnsi="Calibri" w:cs="Calibri"/>
                <w:lang w:eastAsia="en-GB"/>
              </w:rPr>
            </w:pPr>
            <w:r w:rsidRPr="0025379D">
              <w:rPr>
                <w:rFonts w:ascii="Calibri" w:hAnsi="Calibri" w:cs="Calibri"/>
                <w:lang w:eastAsia="en-GB"/>
              </w:rPr>
              <w:t>LAS to provide and review annually call handlers training package and consider inclusion of areas of development or learning highlighted in Serious Adults and Children’s reviews.</w:t>
            </w:r>
          </w:p>
          <w:p w14:paraId="0E0C45B7" w14:textId="01A061C3"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2126" w:type="dxa"/>
          </w:tcPr>
          <w:p w14:paraId="07DB2A11" w14:textId="5913FA92"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London Ambulance Service (LAS)</w:t>
            </w:r>
          </w:p>
        </w:tc>
        <w:tc>
          <w:tcPr>
            <w:tcW w:w="2694" w:type="dxa"/>
          </w:tcPr>
          <w:p w14:paraId="2B481E6C" w14:textId="77777777" w:rsidR="0025379D" w:rsidRPr="0025379D" w:rsidRDefault="0025379D" w:rsidP="0025379D">
            <w:pPr>
              <w:overflowPunct/>
              <w:autoSpaceDE/>
              <w:adjustRightInd/>
              <w:spacing w:line="276" w:lineRule="auto"/>
              <w:jc w:val="left"/>
              <w:rPr>
                <w:rFonts w:ascii="Calibri" w:hAnsi="Calibri" w:cs="Calibri"/>
                <w:lang w:eastAsia="en-GB"/>
              </w:rPr>
            </w:pPr>
            <w:r w:rsidRPr="0025379D">
              <w:rPr>
                <w:rFonts w:ascii="Calibri" w:hAnsi="Calibri" w:cs="Calibri"/>
                <w:lang w:eastAsia="en-GB"/>
              </w:rPr>
              <w:t>LAS review the training packages annually and the training is mandatory for all EOC staff.</w:t>
            </w:r>
          </w:p>
          <w:p w14:paraId="5CE5FE09" w14:textId="77777777" w:rsidR="0025379D" w:rsidRPr="0025379D" w:rsidRDefault="0025379D" w:rsidP="0025379D">
            <w:pPr>
              <w:overflowPunct/>
              <w:autoSpaceDE/>
              <w:adjustRightInd/>
              <w:spacing w:line="276" w:lineRule="auto"/>
              <w:jc w:val="left"/>
              <w:rPr>
                <w:rFonts w:ascii="Calibri" w:hAnsi="Calibri" w:cs="Calibri"/>
                <w:lang w:eastAsia="en-GB"/>
              </w:rPr>
            </w:pPr>
            <w:r w:rsidRPr="0025379D">
              <w:rPr>
                <w:rFonts w:ascii="Calibri" w:hAnsi="Calibri" w:cs="Calibri"/>
                <w:lang w:eastAsia="en-GB"/>
              </w:rPr>
              <w:t>LAS audit calls for Quality Assurance purposes and if any potential issues arise at the time to ensure areas of development and/or learning is followed up.</w:t>
            </w:r>
          </w:p>
          <w:p w14:paraId="7E4F773B" w14:textId="77777777" w:rsidR="0025379D" w:rsidRPr="0025379D" w:rsidRDefault="0025379D" w:rsidP="0025379D">
            <w:pPr>
              <w:overflowPunct/>
              <w:autoSpaceDE/>
              <w:adjustRightInd/>
              <w:spacing w:line="276" w:lineRule="auto"/>
              <w:jc w:val="left"/>
              <w:rPr>
                <w:rFonts w:ascii="Calibri" w:hAnsi="Calibri" w:cs="Calibri"/>
                <w:lang w:eastAsia="en-GB"/>
              </w:rPr>
            </w:pPr>
          </w:p>
          <w:p w14:paraId="7DE992F0" w14:textId="3320A970" w:rsidR="00037A9F" w:rsidRPr="00DD20C8" w:rsidRDefault="0025379D" w:rsidP="00DD20C8">
            <w:pPr>
              <w:overflowPunct/>
              <w:autoSpaceDE/>
              <w:adjustRightInd/>
              <w:spacing w:line="276" w:lineRule="auto"/>
              <w:jc w:val="left"/>
              <w:rPr>
                <w:rFonts w:ascii="Calibri" w:hAnsi="Calibri" w:cs="Calibri"/>
                <w:lang w:eastAsia="en-GB"/>
              </w:rPr>
            </w:pPr>
            <w:r w:rsidRPr="0025379D">
              <w:rPr>
                <w:rFonts w:ascii="Calibri" w:hAnsi="Calibri" w:cs="Calibri"/>
                <w:lang w:eastAsia="en-GB"/>
              </w:rPr>
              <w:lastRenderedPageBreak/>
              <w:t>This is a national system that the LAS are unable to put in place any change.</w:t>
            </w:r>
          </w:p>
        </w:tc>
        <w:tc>
          <w:tcPr>
            <w:tcW w:w="1417" w:type="dxa"/>
          </w:tcPr>
          <w:p w14:paraId="04B6FF80" w14:textId="3324B99F"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lastRenderedPageBreak/>
              <w:t xml:space="preserve">Complete </w:t>
            </w:r>
          </w:p>
        </w:tc>
        <w:tc>
          <w:tcPr>
            <w:tcW w:w="851" w:type="dxa"/>
            <w:shd w:val="clear" w:color="auto" w:fill="92D050"/>
          </w:tcPr>
          <w:p w14:paraId="7B74965B" w14:textId="6DFC1D63"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Green </w:t>
            </w:r>
          </w:p>
        </w:tc>
      </w:tr>
      <w:tr w:rsidR="00037A9F" w:rsidRPr="00535AD5" w14:paraId="3738440B" w14:textId="77777777" w:rsidTr="00CC4EAF">
        <w:trPr>
          <w:trHeight w:val="1337"/>
        </w:trPr>
        <w:tc>
          <w:tcPr>
            <w:tcW w:w="597" w:type="dxa"/>
            <w:vMerge w:val="restart"/>
          </w:tcPr>
          <w:p w14:paraId="52D37DF2"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8a</w:t>
            </w:r>
          </w:p>
        </w:tc>
        <w:tc>
          <w:tcPr>
            <w:tcW w:w="3260" w:type="dxa"/>
            <w:vMerge w:val="restart"/>
          </w:tcPr>
          <w:p w14:paraId="16939345"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b/>
                <w:bCs/>
              </w:rPr>
              <w:t>DNAR Orders-LAS:</w:t>
            </w:r>
            <w:r w:rsidRPr="0025379D">
              <w:rPr>
                <w:rFonts w:asciiTheme="minorHAnsi" w:eastAsia="Calibri" w:hAnsiTheme="minorHAnsi" w:cstheme="minorHAnsi"/>
              </w:rPr>
              <w:t xml:space="preserve"> LAS should review practice and procedures and ensure this is reflected in staff training programmes. </w:t>
            </w:r>
          </w:p>
          <w:p w14:paraId="36857630" w14:textId="77777777" w:rsidR="006E6369" w:rsidRPr="0025379D" w:rsidRDefault="006E6369" w:rsidP="00726370">
            <w:pPr>
              <w:overflowPunct/>
              <w:autoSpaceDE/>
              <w:autoSpaceDN/>
              <w:adjustRightInd/>
              <w:spacing w:line="276" w:lineRule="auto"/>
              <w:jc w:val="left"/>
              <w:textAlignment w:val="auto"/>
              <w:rPr>
                <w:rFonts w:asciiTheme="minorHAnsi" w:eastAsia="Calibri" w:hAnsiTheme="minorHAnsi" w:cstheme="minorHAnsi"/>
              </w:rPr>
            </w:pPr>
          </w:p>
        </w:tc>
        <w:tc>
          <w:tcPr>
            <w:tcW w:w="4394" w:type="dxa"/>
          </w:tcPr>
          <w:p w14:paraId="3913EB27"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p w14:paraId="4C30F73B"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LAS to ensure it is linked in with Coordinate My Care (CMC) which will immediately flag resuscitation status. </w:t>
            </w:r>
          </w:p>
        </w:tc>
        <w:tc>
          <w:tcPr>
            <w:tcW w:w="2126" w:type="dxa"/>
          </w:tcPr>
          <w:p w14:paraId="0D8977E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London Ambulance Service (LAS)</w:t>
            </w:r>
          </w:p>
        </w:tc>
        <w:tc>
          <w:tcPr>
            <w:tcW w:w="2694" w:type="dxa"/>
          </w:tcPr>
          <w:p w14:paraId="6DC9170E" w14:textId="07110C8D" w:rsidR="00037A9F" w:rsidRPr="00DD20C8" w:rsidRDefault="0025379D" w:rsidP="00DD20C8">
            <w:pPr>
              <w:overflowPunct/>
              <w:autoSpaceDE/>
              <w:adjustRightInd/>
              <w:spacing w:line="276" w:lineRule="auto"/>
              <w:jc w:val="left"/>
              <w:rPr>
                <w:rFonts w:ascii="Calibri" w:hAnsi="Calibri" w:cs="Calibri"/>
                <w:lang w:eastAsia="en-GB"/>
              </w:rPr>
            </w:pPr>
            <w:r w:rsidRPr="0025379D">
              <w:rPr>
                <w:rFonts w:ascii="Calibri" w:hAnsi="Calibri" w:cs="Calibri"/>
                <w:lang w:eastAsia="en-GB"/>
              </w:rPr>
              <w:t>LAS has implemented Coordinate My Care (CMC) which will immediately flag resuscitation status.</w:t>
            </w:r>
          </w:p>
        </w:tc>
        <w:tc>
          <w:tcPr>
            <w:tcW w:w="1417" w:type="dxa"/>
          </w:tcPr>
          <w:p w14:paraId="56865AE3"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Implemented </w:t>
            </w:r>
          </w:p>
        </w:tc>
        <w:tc>
          <w:tcPr>
            <w:tcW w:w="851" w:type="dxa"/>
            <w:shd w:val="clear" w:color="auto" w:fill="92D050"/>
          </w:tcPr>
          <w:p w14:paraId="7B599865"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Green </w:t>
            </w:r>
          </w:p>
        </w:tc>
      </w:tr>
      <w:tr w:rsidR="00037A9F" w:rsidRPr="00535AD5" w14:paraId="193BB808" w14:textId="77777777" w:rsidTr="00CC4EAF">
        <w:trPr>
          <w:trHeight w:val="965"/>
        </w:trPr>
        <w:tc>
          <w:tcPr>
            <w:tcW w:w="597" w:type="dxa"/>
            <w:vMerge/>
          </w:tcPr>
          <w:p w14:paraId="04971C76" w14:textId="77777777" w:rsidR="00037A9F" w:rsidRDefault="00037A9F" w:rsidP="00726370">
            <w:pPr>
              <w:overflowPunct/>
              <w:autoSpaceDE/>
              <w:autoSpaceDN/>
              <w:adjustRightInd/>
              <w:spacing w:line="276" w:lineRule="auto"/>
              <w:jc w:val="left"/>
              <w:textAlignment w:val="auto"/>
              <w:rPr>
                <w:rFonts w:ascii="Calibri" w:eastAsia="Calibri" w:hAnsi="Calibri" w:cs="Calibri"/>
                <w:sz w:val="24"/>
                <w:szCs w:val="24"/>
              </w:rPr>
            </w:pPr>
          </w:p>
        </w:tc>
        <w:tc>
          <w:tcPr>
            <w:tcW w:w="3260" w:type="dxa"/>
            <w:vMerge/>
          </w:tcPr>
          <w:p w14:paraId="342B92C4"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b/>
                <w:bCs/>
              </w:rPr>
            </w:pPr>
          </w:p>
        </w:tc>
        <w:tc>
          <w:tcPr>
            <w:tcW w:w="4394" w:type="dxa"/>
          </w:tcPr>
          <w:p w14:paraId="06AA300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LAS to ensure appropriate training in the use of DNAR Orders is given to staff</w:t>
            </w:r>
          </w:p>
        </w:tc>
        <w:tc>
          <w:tcPr>
            <w:tcW w:w="2126" w:type="dxa"/>
          </w:tcPr>
          <w:p w14:paraId="4A00AF84"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London Ambulance Services (LAS)</w:t>
            </w:r>
          </w:p>
        </w:tc>
        <w:tc>
          <w:tcPr>
            <w:tcW w:w="2694" w:type="dxa"/>
          </w:tcPr>
          <w:p w14:paraId="0767EC3E" w14:textId="77777777" w:rsidR="0025379D" w:rsidRPr="0025379D" w:rsidRDefault="0025379D" w:rsidP="0025379D">
            <w:pPr>
              <w:overflowPunct/>
              <w:autoSpaceDE/>
              <w:adjustRightInd/>
              <w:spacing w:line="276" w:lineRule="auto"/>
              <w:jc w:val="left"/>
              <w:rPr>
                <w:rFonts w:ascii="Calibri" w:hAnsi="Calibri" w:cs="Calibri"/>
                <w:lang w:eastAsia="en-GB"/>
              </w:rPr>
            </w:pPr>
            <w:r w:rsidRPr="0025379D">
              <w:rPr>
                <w:rFonts w:ascii="Calibri" w:hAnsi="Calibri" w:cs="Calibri"/>
                <w:lang w:eastAsia="en-GB"/>
              </w:rPr>
              <w:t>LAS has implemented appropriate training in the use of DNAR Orders is given to staff.</w:t>
            </w:r>
          </w:p>
          <w:p w14:paraId="5148150C" w14:textId="77777777" w:rsidR="0025379D" w:rsidRPr="0025379D" w:rsidRDefault="0025379D" w:rsidP="0025379D">
            <w:pPr>
              <w:overflowPunct/>
              <w:autoSpaceDE/>
              <w:adjustRightInd/>
              <w:spacing w:line="276" w:lineRule="auto"/>
              <w:jc w:val="left"/>
              <w:rPr>
                <w:rFonts w:ascii="Calibri" w:hAnsi="Calibri" w:cs="Calibri"/>
                <w:lang w:eastAsia="en-GB"/>
              </w:rPr>
            </w:pPr>
            <w:r w:rsidRPr="0025379D">
              <w:rPr>
                <w:rFonts w:ascii="Calibri" w:hAnsi="Calibri" w:cs="Calibri"/>
                <w:lang w:eastAsia="en-GB"/>
              </w:rPr>
              <w:t xml:space="preserve">LAS now has in place an </w:t>
            </w:r>
            <w:proofErr w:type="gramStart"/>
            <w:r w:rsidRPr="0025379D">
              <w:rPr>
                <w:rFonts w:ascii="Calibri" w:hAnsi="Calibri" w:cs="Calibri"/>
                <w:lang w:eastAsia="en-GB"/>
              </w:rPr>
              <w:t>end of life</w:t>
            </w:r>
            <w:proofErr w:type="gramEnd"/>
            <w:r w:rsidRPr="0025379D">
              <w:rPr>
                <w:rFonts w:ascii="Calibri" w:hAnsi="Calibri" w:cs="Calibri"/>
                <w:lang w:eastAsia="en-GB"/>
              </w:rPr>
              <w:t xml:space="preserve"> care team for additional advice and support if needed.</w:t>
            </w:r>
          </w:p>
          <w:p w14:paraId="175A3F49" w14:textId="627B66B9" w:rsidR="00037A9F" w:rsidRPr="00DD20C8" w:rsidRDefault="0025379D" w:rsidP="00DD20C8">
            <w:pPr>
              <w:overflowPunct/>
              <w:autoSpaceDE/>
              <w:adjustRightInd/>
              <w:spacing w:line="276" w:lineRule="auto"/>
              <w:jc w:val="left"/>
              <w:rPr>
                <w:rFonts w:ascii="Calibri" w:hAnsi="Calibri" w:cs="Calibri"/>
                <w:lang w:eastAsia="en-GB"/>
              </w:rPr>
            </w:pPr>
            <w:r w:rsidRPr="0025379D">
              <w:rPr>
                <w:rFonts w:ascii="Calibri" w:hAnsi="Calibri" w:cs="Calibri"/>
                <w:lang w:eastAsia="en-GB"/>
              </w:rPr>
              <w:t>Training has been provided to all operational staff to accommodate coordinate my care and DNAR orders.</w:t>
            </w:r>
          </w:p>
        </w:tc>
        <w:tc>
          <w:tcPr>
            <w:tcW w:w="1417" w:type="dxa"/>
          </w:tcPr>
          <w:p w14:paraId="7C3A8F4F" w14:textId="418E0060"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Implemented </w:t>
            </w:r>
          </w:p>
        </w:tc>
        <w:tc>
          <w:tcPr>
            <w:tcW w:w="851" w:type="dxa"/>
            <w:shd w:val="clear" w:color="auto" w:fill="92D050"/>
          </w:tcPr>
          <w:p w14:paraId="6D98C7F3" w14:textId="705312A7"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Green</w:t>
            </w:r>
          </w:p>
        </w:tc>
      </w:tr>
      <w:tr w:rsidR="00037A9F" w:rsidRPr="00535AD5" w14:paraId="582A6DDB" w14:textId="77777777" w:rsidTr="00CC4EAF">
        <w:tc>
          <w:tcPr>
            <w:tcW w:w="597" w:type="dxa"/>
          </w:tcPr>
          <w:p w14:paraId="230FBD09" w14:textId="77777777" w:rsidR="00037A9F" w:rsidRPr="00CE2D2A" w:rsidRDefault="00037A9F" w:rsidP="00726370">
            <w:pPr>
              <w:overflowPunct/>
              <w:autoSpaceDE/>
              <w:autoSpaceDN/>
              <w:adjustRightInd/>
              <w:spacing w:line="276" w:lineRule="auto"/>
              <w:jc w:val="left"/>
              <w:textAlignment w:val="auto"/>
              <w:rPr>
                <w:rFonts w:ascii="Calibri" w:eastAsia="Calibri" w:hAnsi="Calibri" w:cs="Calibri"/>
                <w:sz w:val="24"/>
                <w:szCs w:val="24"/>
              </w:rPr>
            </w:pPr>
            <w:r>
              <w:rPr>
                <w:rFonts w:ascii="Calibri" w:eastAsia="Calibri" w:hAnsi="Calibri" w:cs="Calibri"/>
                <w:sz w:val="24"/>
                <w:szCs w:val="24"/>
              </w:rPr>
              <w:t>8b</w:t>
            </w:r>
          </w:p>
        </w:tc>
        <w:tc>
          <w:tcPr>
            <w:tcW w:w="3260" w:type="dxa"/>
          </w:tcPr>
          <w:p w14:paraId="2DD3C99A"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b/>
                <w:bCs/>
              </w:rPr>
            </w:pPr>
            <w:r w:rsidRPr="0025379D">
              <w:rPr>
                <w:rFonts w:asciiTheme="minorHAnsi" w:eastAsia="Calibri" w:hAnsiTheme="minorHAnsi" w:cstheme="minorHAnsi"/>
                <w:b/>
                <w:bCs/>
              </w:rPr>
              <w:t>DNAR Orders- Care Provider</w:t>
            </w:r>
          </w:p>
          <w:p w14:paraId="30E9EFCA" w14:textId="77777777" w:rsidR="00037A9F" w:rsidRPr="0025379D" w:rsidRDefault="00037A9F" w:rsidP="00726370">
            <w:pPr>
              <w:overflowPunct/>
              <w:autoSpaceDE/>
              <w:autoSpaceDN/>
              <w:adjustRightInd/>
              <w:spacing w:line="276" w:lineRule="auto"/>
              <w:jc w:val="left"/>
              <w:textAlignment w:val="auto"/>
              <w:rPr>
                <w:rFonts w:asciiTheme="minorHAnsi" w:eastAsia="Calibri" w:hAnsiTheme="minorHAnsi" w:cstheme="minorHAnsi"/>
              </w:rPr>
            </w:pPr>
            <w:r w:rsidRPr="0025379D">
              <w:rPr>
                <w:rFonts w:asciiTheme="minorHAnsi" w:eastAsia="Calibri" w:hAnsiTheme="minorHAnsi" w:cstheme="minorHAnsi"/>
              </w:rPr>
              <w:t xml:space="preserve"> Training for staff in the Care Home on the purpose and effect of DNAR’s should be initiated, reviewed and evaluated by the Care Provider. </w:t>
            </w:r>
          </w:p>
        </w:tc>
        <w:tc>
          <w:tcPr>
            <w:tcW w:w="4394" w:type="dxa"/>
          </w:tcPr>
          <w:p w14:paraId="19A0DFDE" w14:textId="2817808F"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 xml:space="preserve">Attend the Care Home Provider Forum to identify what Policies and training on DNAR are in place. If not adequate, then joined up training will be offered to Care Home providers via Local Authority and CCG. </w:t>
            </w:r>
          </w:p>
          <w:p w14:paraId="4BB90610" w14:textId="77777777" w:rsidR="002924B9" w:rsidRPr="0025379D" w:rsidRDefault="002924B9" w:rsidP="00726370">
            <w:pPr>
              <w:overflowPunct/>
              <w:autoSpaceDE/>
              <w:autoSpaceDN/>
              <w:adjustRightInd/>
              <w:spacing w:line="276" w:lineRule="auto"/>
              <w:jc w:val="left"/>
              <w:textAlignment w:val="auto"/>
              <w:rPr>
                <w:rFonts w:asciiTheme="minorHAnsi" w:hAnsiTheme="minorHAnsi" w:cstheme="minorHAnsi"/>
                <w:lang w:eastAsia="en-GB"/>
              </w:rPr>
            </w:pPr>
          </w:p>
          <w:p w14:paraId="3C80BD09" w14:textId="77777777" w:rsidR="002924B9" w:rsidRPr="0025379D" w:rsidRDefault="002924B9" w:rsidP="00726370">
            <w:pPr>
              <w:overflowPunct/>
              <w:autoSpaceDE/>
              <w:autoSpaceDN/>
              <w:adjustRightInd/>
              <w:spacing w:line="276" w:lineRule="auto"/>
              <w:jc w:val="left"/>
              <w:textAlignment w:val="auto"/>
              <w:rPr>
                <w:rFonts w:asciiTheme="minorHAnsi" w:hAnsiTheme="minorHAnsi" w:cstheme="minorHAnsi"/>
                <w:b/>
                <w:color w:val="FF0000"/>
                <w:highlight w:val="yellow"/>
                <w:lang w:eastAsia="en-GB"/>
              </w:rPr>
            </w:pPr>
          </w:p>
          <w:p w14:paraId="1B1E07B3"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p w14:paraId="6A1A19F8"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p>
        </w:tc>
        <w:tc>
          <w:tcPr>
            <w:tcW w:w="2126" w:type="dxa"/>
          </w:tcPr>
          <w:p w14:paraId="066324ED"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lang w:eastAsia="en-GB"/>
              </w:rPr>
            </w:pPr>
            <w:r w:rsidRPr="0025379D">
              <w:rPr>
                <w:rFonts w:asciiTheme="minorHAnsi" w:hAnsiTheme="minorHAnsi" w:cstheme="minorHAnsi"/>
                <w:lang w:eastAsia="en-GB"/>
              </w:rPr>
              <w:t>Care Provider, Care Home, CCG, Local Authority.</w:t>
            </w:r>
          </w:p>
        </w:tc>
        <w:tc>
          <w:tcPr>
            <w:tcW w:w="2694" w:type="dxa"/>
          </w:tcPr>
          <w:p w14:paraId="41C6DA35" w14:textId="77777777" w:rsidR="0025379D" w:rsidRPr="0025379D" w:rsidRDefault="0025379D" w:rsidP="0025379D">
            <w:pPr>
              <w:overflowPunct/>
              <w:autoSpaceDE/>
              <w:autoSpaceDN/>
              <w:adjustRightInd/>
              <w:spacing w:line="276" w:lineRule="auto"/>
              <w:jc w:val="left"/>
              <w:textAlignment w:val="auto"/>
              <w:rPr>
                <w:rFonts w:asciiTheme="minorHAnsi" w:hAnsiTheme="minorHAnsi" w:cstheme="minorHAnsi"/>
                <w:bCs/>
                <w:lang w:eastAsia="en-GB"/>
              </w:rPr>
            </w:pPr>
            <w:r w:rsidRPr="0025379D">
              <w:rPr>
                <w:rFonts w:asciiTheme="minorHAnsi" w:hAnsiTheme="minorHAnsi" w:cstheme="minorHAnsi"/>
                <w:bCs/>
                <w:lang w:eastAsia="en-GB"/>
              </w:rPr>
              <w:t xml:space="preserve">Resulting feedback was that a separate MDT meeting be convened with LAS in attendance to address Provider feedback on current working relationship with </w:t>
            </w:r>
            <w:proofErr w:type="gramStart"/>
            <w:r w:rsidRPr="0025379D">
              <w:rPr>
                <w:rFonts w:asciiTheme="minorHAnsi" w:hAnsiTheme="minorHAnsi" w:cstheme="minorHAnsi"/>
                <w:bCs/>
                <w:lang w:eastAsia="en-GB"/>
              </w:rPr>
              <w:t>LAS ,GP</w:t>
            </w:r>
            <w:proofErr w:type="gramEnd"/>
            <w:r w:rsidRPr="0025379D">
              <w:rPr>
                <w:rFonts w:asciiTheme="minorHAnsi" w:hAnsiTheme="minorHAnsi" w:cstheme="minorHAnsi"/>
                <w:bCs/>
                <w:lang w:eastAsia="en-GB"/>
              </w:rPr>
              <w:t xml:space="preserve"> and to scope the need for  staff training on their understanding of DNAR and what reversible events means medically .</w:t>
            </w:r>
          </w:p>
          <w:p w14:paraId="248C45CE" w14:textId="77777777" w:rsidR="00037A9F" w:rsidRPr="0025379D" w:rsidRDefault="00037A9F" w:rsidP="00726370">
            <w:pPr>
              <w:overflowPunct/>
              <w:autoSpaceDE/>
              <w:autoSpaceDN/>
              <w:adjustRightInd/>
              <w:spacing w:line="276" w:lineRule="auto"/>
              <w:jc w:val="left"/>
              <w:textAlignment w:val="auto"/>
              <w:rPr>
                <w:rFonts w:asciiTheme="minorHAnsi" w:hAnsiTheme="minorHAnsi" w:cstheme="minorHAnsi"/>
                <w:bCs/>
                <w:lang w:eastAsia="en-GB"/>
              </w:rPr>
            </w:pPr>
          </w:p>
        </w:tc>
        <w:tc>
          <w:tcPr>
            <w:tcW w:w="1417" w:type="dxa"/>
          </w:tcPr>
          <w:p w14:paraId="345EC209" w14:textId="49BD9D5A"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Ongoing </w:t>
            </w:r>
          </w:p>
        </w:tc>
        <w:tc>
          <w:tcPr>
            <w:tcW w:w="851" w:type="dxa"/>
            <w:shd w:val="clear" w:color="auto" w:fill="FFC000"/>
          </w:tcPr>
          <w:p w14:paraId="324690B6" w14:textId="6F429A0B" w:rsidR="00037A9F" w:rsidRPr="0025379D" w:rsidRDefault="0025379D" w:rsidP="00726370">
            <w:pPr>
              <w:overflowPunct/>
              <w:autoSpaceDE/>
              <w:autoSpaceDN/>
              <w:adjustRightInd/>
              <w:spacing w:line="276" w:lineRule="auto"/>
              <w:jc w:val="left"/>
              <w:textAlignment w:val="auto"/>
              <w:rPr>
                <w:rFonts w:asciiTheme="minorHAnsi" w:hAnsiTheme="minorHAnsi" w:cstheme="minorHAnsi"/>
                <w:lang w:eastAsia="en-GB"/>
              </w:rPr>
            </w:pPr>
            <w:r>
              <w:rPr>
                <w:rFonts w:asciiTheme="minorHAnsi" w:hAnsiTheme="minorHAnsi" w:cstheme="minorHAnsi"/>
                <w:lang w:eastAsia="en-GB"/>
              </w:rPr>
              <w:t xml:space="preserve">Amber </w:t>
            </w:r>
          </w:p>
        </w:tc>
      </w:tr>
    </w:tbl>
    <w:p w14:paraId="6EC55F4B" w14:textId="77777777" w:rsidR="00AE3F3E" w:rsidRDefault="00CC4EAF"/>
    <w:sectPr w:rsidR="00AE3F3E" w:rsidSect="00351230">
      <w:headerReference w:type="default" r:id="rId6"/>
      <w:pgSz w:w="16838" w:h="11906" w:orient="landscape"/>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71F" w14:textId="77777777" w:rsidR="002C662A" w:rsidRDefault="002C662A" w:rsidP="00AD4469">
      <w:r>
        <w:separator/>
      </w:r>
    </w:p>
  </w:endnote>
  <w:endnote w:type="continuationSeparator" w:id="0">
    <w:p w14:paraId="52461637" w14:textId="77777777" w:rsidR="002C662A" w:rsidRDefault="002C662A" w:rsidP="00AD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B654" w14:textId="77777777" w:rsidR="002C662A" w:rsidRDefault="002C662A" w:rsidP="00AD4469">
      <w:r>
        <w:separator/>
      </w:r>
    </w:p>
  </w:footnote>
  <w:footnote w:type="continuationSeparator" w:id="0">
    <w:p w14:paraId="277AAD73" w14:textId="77777777" w:rsidR="002C662A" w:rsidRDefault="002C662A" w:rsidP="00AD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567B" w14:textId="77777777" w:rsidR="00AD4469" w:rsidRPr="00AD4469" w:rsidRDefault="00351230" w:rsidP="00AD4469">
    <w:pPr>
      <w:pStyle w:val="Header"/>
      <w:jc w:val="center"/>
      <w:rPr>
        <w:b/>
        <w:sz w:val="32"/>
        <w:szCs w:val="32"/>
        <w:lang w:val="en-US"/>
      </w:rPr>
    </w:pPr>
    <w:r w:rsidRPr="00AD4469">
      <w:rPr>
        <w:b/>
        <w:sz w:val="32"/>
        <w:szCs w:val="32"/>
        <w:lang w:val="en-US"/>
      </w:rPr>
      <w:t>Mrs.</w:t>
    </w:r>
    <w:r w:rsidR="00AD4469" w:rsidRPr="00AD4469">
      <w:rPr>
        <w:b/>
        <w:sz w:val="32"/>
        <w:szCs w:val="32"/>
        <w:lang w:val="en-US"/>
      </w:rPr>
      <w:t xml:space="preserve"> E Action Plan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07"/>
    <w:rsid w:val="00037A9F"/>
    <w:rsid w:val="000F0CA0"/>
    <w:rsid w:val="00115C55"/>
    <w:rsid w:val="00193509"/>
    <w:rsid w:val="001A4FFF"/>
    <w:rsid w:val="002053E3"/>
    <w:rsid w:val="0025379D"/>
    <w:rsid w:val="00265A07"/>
    <w:rsid w:val="002924B9"/>
    <w:rsid w:val="002C662A"/>
    <w:rsid w:val="002F2319"/>
    <w:rsid w:val="002F54C4"/>
    <w:rsid w:val="00351230"/>
    <w:rsid w:val="004E1FB1"/>
    <w:rsid w:val="0054313A"/>
    <w:rsid w:val="00550EAF"/>
    <w:rsid w:val="0058756D"/>
    <w:rsid w:val="005A1A75"/>
    <w:rsid w:val="005A705F"/>
    <w:rsid w:val="0065262A"/>
    <w:rsid w:val="00692F07"/>
    <w:rsid w:val="006E6369"/>
    <w:rsid w:val="00810599"/>
    <w:rsid w:val="0086492A"/>
    <w:rsid w:val="008C2638"/>
    <w:rsid w:val="008E03CA"/>
    <w:rsid w:val="009709AA"/>
    <w:rsid w:val="00A62F31"/>
    <w:rsid w:val="00AA4DF0"/>
    <w:rsid w:val="00AD4469"/>
    <w:rsid w:val="00B32700"/>
    <w:rsid w:val="00B41411"/>
    <w:rsid w:val="00B605E9"/>
    <w:rsid w:val="00B87B94"/>
    <w:rsid w:val="00C20789"/>
    <w:rsid w:val="00C45371"/>
    <w:rsid w:val="00CC3AB4"/>
    <w:rsid w:val="00CC4EAF"/>
    <w:rsid w:val="00D5470D"/>
    <w:rsid w:val="00DC474B"/>
    <w:rsid w:val="00DD20C8"/>
    <w:rsid w:val="00E4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5107"/>
  <w15:chartTrackingRefBased/>
  <w15:docId w15:val="{2A5AFF15-1989-42A3-8355-95F3834D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0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469"/>
    <w:pPr>
      <w:tabs>
        <w:tab w:val="center" w:pos="4513"/>
        <w:tab w:val="right" w:pos="9026"/>
      </w:tabs>
    </w:pPr>
  </w:style>
  <w:style w:type="character" w:customStyle="1" w:styleId="HeaderChar">
    <w:name w:val="Header Char"/>
    <w:basedOn w:val="DefaultParagraphFont"/>
    <w:link w:val="Header"/>
    <w:uiPriority w:val="99"/>
    <w:rsid w:val="00AD4469"/>
    <w:rPr>
      <w:rFonts w:ascii="Arial" w:eastAsia="Times New Roman" w:hAnsi="Arial" w:cs="Times New Roman"/>
      <w:sz w:val="20"/>
      <w:szCs w:val="20"/>
    </w:rPr>
  </w:style>
  <w:style w:type="paragraph" w:styleId="Footer">
    <w:name w:val="footer"/>
    <w:basedOn w:val="Normal"/>
    <w:link w:val="FooterChar"/>
    <w:uiPriority w:val="99"/>
    <w:unhideWhenUsed/>
    <w:rsid w:val="00AD4469"/>
    <w:pPr>
      <w:tabs>
        <w:tab w:val="center" w:pos="4513"/>
        <w:tab w:val="right" w:pos="9026"/>
      </w:tabs>
    </w:pPr>
  </w:style>
  <w:style w:type="character" w:customStyle="1" w:styleId="FooterChar">
    <w:name w:val="Footer Char"/>
    <w:basedOn w:val="DefaultParagraphFont"/>
    <w:link w:val="Footer"/>
    <w:uiPriority w:val="99"/>
    <w:rsid w:val="00AD446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9723">
      <w:bodyDiv w:val="1"/>
      <w:marLeft w:val="0"/>
      <w:marRight w:val="0"/>
      <w:marTop w:val="0"/>
      <w:marBottom w:val="0"/>
      <w:divBdr>
        <w:top w:val="none" w:sz="0" w:space="0" w:color="auto"/>
        <w:left w:val="none" w:sz="0" w:space="0" w:color="auto"/>
        <w:bottom w:val="none" w:sz="0" w:space="0" w:color="auto"/>
        <w:right w:val="none" w:sz="0" w:space="0" w:color="auto"/>
      </w:divBdr>
    </w:div>
    <w:div w:id="480464058">
      <w:bodyDiv w:val="1"/>
      <w:marLeft w:val="0"/>
      <w:marRight w:val="0"/>
      <w:marTop w:val="0"/>
      <w:marBottom w:val="0"/>
      <w:divBdr>
        <w:top w:val="none" w:sz="0" w:space="0" w:color="auto"/>
        <w:left w:val="none" w:sz="0" w:space="0" w:color="auto"/>
        <w:bottom w:val="none" w:sz="0" w:space="0" w:color="auto"/>
        <w:right w:val="none" w:sz="0" w:space="0" w:color="auto"/>
      </w:divBdr>
    </w:div>
    <w:div w:id="567419060">
      <w:bodyDiv w:val="1"/>
      <w:marLeft w:val="0"/>
      <w:marRight w:val="0"/>
      <w:marTop w:val="0"/>
      <w:marBottom w:val="0"/>
      <w:divBdr>
        <w:top w:val="none" w:sz="0" w:space="0" w:color="auto"/>
        <w:left w:val="none" w:sz="0" w:space="0" w:color="auto"/>
        <w:bottom w:val="none" w:sz="0" w:space="0" w:color="auto"/>
        <w:right w:val="none" w:sz="0" w:space="0" w:color="auto"/>
      </w:divBdr>
    </w:div>
    <w:div w:id="1287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Bonnewell</dc:creator>
  <cp:keywords/>
  <dc:description/>
  <cp:lastModifiedBy>Helen Bonnewell</cp:lastModifiedBy>
  <cp:revision>2</cp:revision>
  <dcterms:created xsi:type="dcterms:W3CDTF">2023-08-16T10:57:00Z</dcterms:created>
  <dcterms:modified xsi:type="dcterms:W3CDTF">2023-08-16T10:57:00Z</dcterms:modified>
</cp:coreProperties>
</file>