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593" w:type="dxa"/>
        <w:tblInd w:w="-572" w:type="dxa"/>
        <w:tblLayout w:type="fixed"/>
        <w:tblLook w:val="04A0" w:firstRow="1" w:lastRow="0" w:firstColumn="1" w:lastColumn="0" w:noHBand="0" w:noVBand="1"/>
      </w:tblPr>
      <w:tblGrid>
        <w:gridCol w:w="589"/>
        <w:gridCol w:w="3947"/>
        <w:gridCol w:w="3780"/>
        <w:gridCol w:w="2243"/>
        <w:gridCol w:w="1207"/>
        <w:gridCol w:w="1134"/>
        <w:gridCol w:w="2693"/>
      </w:tblGrid>
      <w:tr w:rsidR="003E3932" w14:paraId="31B9E9BB" w14:textId="3687AFB7" w:rsidTr="00C01386">
        <w:tc>
          <w:tcPr>
            <w:tcW w:w="589" w:type="dxa"/>
          </w:tcPr>
          <w:p w14:paraId="721E532C" w14:textId="77777777" w:rsidR="003E3932" w:rsidRPr="00C459EF" w:rsidRDefault="003E3932" w:rsidP="005371B2">
            <w:pPr>
              <w:rPr>
                <w:rFonts w:ascii="Gill Sans MT" w:hAnsi="Gill Sans MT"/>
                <w:sz w:val="24"/>
                <w:szCs w:val="24"/>
              </w:rPr>
            </w:pPr>
            <w:r w:rsidRPr="00C459EF">
              <w:rPr>
                <w:rFonts w:ascii="Gill Sans MT" w:hAnsi="Gill Sans MT"/>
                <w:sz w:val="24"/>
                <w:szCs w:val="24"/>
              </w:rPr>
              <w:t>No.</w:t>
            </w:r>
          </w:p>
        </w:tc>
        <w:tc>
          <w:tcPr>
            <w:tcW w:w="3947" w:type="dxa"/>
          </w:tcPr>
          <w:p w14:paraId="1069BF91" w14:textId="77777777" w:rsidR="003E3932" w:rsidRPr="00C459EF" w:rsidRDefault="003E3932" w:rsidP="005371B2">
            <w:pPr>
              <w:rPr>
                <w:rFonts w:ascii="Gill Sans MT" w:hAnsi="Gill Sans MT"/>
                <w:sz w:val="24"/>
                <w:szCs w:val="24"/>
              </w:rPr>
            </w:pPr>
            <w:r w:rsidRPr="00C459EF">
              <w:rPr>
                <w:rFonts w:ascii="Gill Sans MT" w:hAnsi="Gill Sans MT"/>
                <w:b/>
                <w:sz w:val="24"/>
                <w:szCs w:val="24"/>
              </w:rPr>
              <w:t>Recommendation</w:t>
            </w:r>
          </w:p>
        </w:tc>
        <w:tc>
          <w:tcPr>
            <w:tcW w:w="3780" w:type="dxa"/>
          </w:tcPr>
          <w:p w14:paraId="43E6C576" w14:textId="77777777" w:rsidR="003E3932" w:rsidRPr="00C459EF" w:rsidRDefault="003E3932" w:rsidP="005371B2">
            <w:pPr>
              <w:rPr>
                <w:rFonts w:ascii="Gill Sans MT" w:hAnsi="Gill Sans MT"/>
                <w:sz w:val="24"/>
                <w:szCs w:val="24"/>
              </w:rPr>
            </w:pPr>
            <w:r w:rsidRPr="00C459EF">
              <w:rPr>
                <w:rFonts w:ascii="Gill Sans MT" w:hAnsi="Gill Sans MT"/>
                <w:b/>
                <w:sz w:val="24"/>
                <w:szCs w:val="24"/>
              </w:rPr>
              <w:t>Action</w:t>
            </w:r>
          </w:p>
        </w:tc>
        <w:tc>
          <w:tcPr>
            <w:tcW w:w="2243" w:type="dxa"/>
          </w:tcPr>
          <w:p w14:paraId="07322B05" w14:textId="77777777" w:rsidR="003E3932" w:rsidRPr="00C459EF" w:rsidRDefault="003E3932" w:rsidP="005371B2">
            <w:pPr>
              <w:rPr>
                <w:rFonts w:ascii="Gill Sans MT" w:hAnsi="Gill Sans MT"/>
                <w:sz w:val="24"/>
                <w:szCs w:val="24"/>
              </w:rPr>
            </w:pPr>
            <w:r w:rsidRPr="00C459EF">
              <w:rPr>
                <w:rFonts w:ascii="Gill Sans MT" w:hAnsi="Gill Sans MT"/>
                <w:b/>
                <w:sz w:val="24"/>
                <w:szCs w:val="24"/>
              </w:rPr>
              <w:t>Who</w:t>
            </w:r>
          </w:p>
        </w:tc>
        <w:tc>
          <w:tcPr>
            <w:tcW w:w="1207" w:type="dxa"/>
          </w:tcPr>
          <w:p w14:paraId="2AA9088E" w14:textId="77777777" w:rsidR="003E3932" w:rsidRPr="00C459EF" w:rsidRDefault="003E3932" w:rsidP="005371B2">
            <w:pPr>
              <w:rPr>
                <w:rFonts w:ascii="Gill Sans MT" w:hAnsi="Gill Sans MT"/>
                <w:sz w:val="24"/>
                <w:szCs w:val="24"/>
              </w:rPr>
            </w:pPr>
            <w:r w:rsidRPr="00C459EF">
              <w:rPr>
                <w:rFonts w:ascii="Gill Sans MT" w:hAnsi="Gill Sans MT"/>
                <w:b/>
                <w:color w:val="000000" w:themeColor="text1"/>
                <w:sz w:val="24"/>
                <w:szCs w:val="24"/>
              </w:rPr>
              <w:t>Time frame</w:t>
            </w:r>
          </w:p>
        </w:tc>
        <w:tc>
          <w:tcPr>
            <w:tcW w:w="1134" w:type="dxa"/>
          </w:tcPr>
          <w:p w14:paraId="468FC0E8" w14:textId="134D40A9" w:rsidR="003E3932" w:rsidRPr="00C459EF" w:rsidRDefault="003E3932" w:rsidP="005371B2">
            <w:pPr>
              <w:rPr>
                <w:rFonts w:ascii="Gill Sans MT" w:hAnsi="Gill Sans MT"/>
                <w:b/>
                <w:color w:val="000000" w:themeColor="text1"/>
                <w:sz w:val="24"/>
                <w:szCs w:val="24"/>
              </w:rPr>
            </w:pPr>
            <w:r>
              <w:rPr>
                <w:rFonts w:ascii="Gill Sans MT" w:hAnsi="Gill Sans MT"/>
                <w:b/>
                <w:color w:val="000000" w:themeColor="text1"/>
                <w:sz w:val="24"/>
                <w:szCs w:val="24"/>
              </w:rPr>
              <w:t xml:space="preserve">RAG </w:t>
            </w:r>
          </w:p>
        </w:tc>
        <w:tc>
          <w:tcPr>
            <w:tcW w:w="2693" w:type="dxa"/>
          </w:tcPr>
          <w:p w14:paraId="0E6CCC5C" w14:textId="725DC70B" w:rsidR="003E3932" w:rsidRPr="00C459EF" w:rsidRDefault="003E3932" w:rsidP="005371B2">
            <w:pPr>
              <w:rPr>
                <w:rFonts w:ascii="Gill Sans MT" w:hAnsi="Gill Sans MT"/>
                <w:b/>
                <w:color w:val="000000" w:themeColor="text1"/>
                <w:sz w:val="24"/>
                <w:szCs w:val="24"/>
              </w:rPr>
            </w:pPr>
            <w:r>
              <w:rPr>
                <w:rFonts w:ascii="Gill Sans MT" w:hAnsi="Gill Sans MT"/>
                <w:b/>
                <w:color w:val="000000" w:themeColor="text1"/>
                <w:sz w:val="24"/>
                <w:szCs w:val="24"/>
              </w:rPr>
              <w:t xml:space="preserve">Update </w:t>
            </w:r>
          </w:p>
        </w:tc>
      </w:tr>
      <w:tr w:rsidR="003E3932" w14:paraId="128D4937" w14:textId="7EE8A6D5" w:rsidTr="00C01386">
        <w:trPr>
          <w:trHeight w:val="1173"/>
        </w:trPr>
        <w:tc>
          <w:tcPr>
            <w:tcW w:w="589" w:type="dxa"/>
            <w:vMerge w:val="restart"/>
          </w:tcPr>
          <w:p w14:paraId="444882F9" w14:textId="77777777" w:rsidR="003E3932" w:rsidRDefault="003E3932" w:rsidP="005371B2">
            <w:pPr>
              <w:jc w:val="center"/>
            </w:pPr>
            <w:r>
              <w:t>1</w:t>
            </w:r>
          </w:p>
        </w:tc>
        <w:tc>
          <w:tcPr>
            <w:tcW w:w="3947" w:type="dxa"/>
            <w:vMerge w:val="restart"/>
          </w:tcPr>
          <w:p w14:paraId="2CD574B5" w14:textId="77777777" w:rsidR="003E3932" w:rsidRPr="00D3026F" w:rsidRDefault="003E3932" w:rsidP="600DC73D">
            <w:pPr>
              <w:spacing w:after="240"/>
              <w:jc w:val="both"/>
              <w:rPr>
                <w:rFonts w:ascii="Gill Sans MT" w:eastAsia="Cambria" w:hAnsi="Gill Sans MT" w:cs="Arial"/>
              </w:rPr>
            </w:pPr>
            <w:r w:rsidRPr="600DC73D">
              <w:rPr>
                <w:rFonts w:ascii="Gill Sans MT" w:eastAsia="Cambria" w:hAnsi="Gill Sans MT" w:cs="Arial"/>
              </w:rPr>
              <w:t>A review of ISC practice in the borough, by the CCG, to ensure that all patients managing incontinence via ISC are offered a regular medical review by their GP, at least every 12 months. This should be undertaken with reference to the subsequent guidance on best practice as set out in Nice Guidance.</w:t>
            </w:r>
          </w:p>
          <w:p w14:paraId="13EB0CF6" w14:textId="77777777" w:rsidR="003E3932" w:rsidRPr="00D3026F" w:rsidRDefault="003E3932" w:rsidP="600DC73D">
            <w:pPr>
              <w:spacing w:after="240"/>
              <w:jc w:val="both"/>
              <w:rPr>
                <w:rFonts w:ascii="Gill Sans MT" w:eastAsia="Cambria" w:hAnsi="Gill Sans MT" w:cs="Arial"/>
              </w:rPr>
            </w:pPr>
          </w:p>
        </w:tc>
        <w:tc>
          <w:tcPr>
            <w:tcW w:w="3780" w:type="dxa"/>
          </w:tcPr>
          <w:p w14:paraId="465A9DBB" w14:textId="67CCBE88" w:rsidR="003E3932" w:rsidRDefault="003E3932" w:rsidP="0081773E">
            <w:pPr>
              <w:pStyle w:val="ListParagraph"/>
              <w:numPr>
                <w:ilvl w:val="0"/>
                <w:numId w:val="7"/>
              </w:numPr>
              <w:spacing w:after="0" w:line="240" w:lineRule="auto"/>
            </w:pPr>
            <w:r>
              <w:t>Review NICE guidance to establish best practice regarding Intermittent Self Catheterisation</w:t>
            </w:r>
          </w:p>
          <w:p w14:paraId="1D61EE18" w14:textId="77777777" w:rsidR="003E3932" w:rsidRDefault="003E3932" w:rsidP="0081773E"/>
        </w:tc>
        <w:tc>
          <w:tcPr>
            <w:tcW w:w="2243" w:type="dxa"/>
          </w:tcPr>
          <w:p w14:paraId="08E26AD2" w14:textId="6F91A06B" w:rsidR="003E3932" w:rsidRPr="003E3932" w:rsidRDefault="003E3932" w:rsidP="003E3932">
            <w:pPr>
              <w:pStyle w:val="ListParagraph"/>
              <w:numPr>
                <w:ilvl w:val="0"/>
                <w:numId w:val="2"/>
              </w:numPr>
              <w:ind w:left="360"/>
              <w:rPr>
                <w:rFonts w:asciiTheme="minorHAnsi" w:eastAsiaTheme="minorEastAsia" w:hAnsiTheme="minorHAnsi" w:cstheme="minorBidi"/>
              </w:rPr>
            </w:pPr>
            <w:r>
              <w:t>Designated Nurse for Adult Safeguarding</w:t>
            </w:r>
          </w:p>
        </w:tc>
        <w:tc>
          <w:tcPr>
            <w:tcW w:w="1207" w:type="dxa"/>
          </w:tcPr>
          <w:p w14:paraId="40B328F8" w14:textId="7A54E6AF" w:rsidR="003E3932" w:rsidRPr="00626515" w:rsidRDefault="00626515" w:rsidP="00626515">
            <w:pPr>
              <w:spacing w:line="259" w:lineRule="auto"/>
              <w:rPr>
                <w:rFonts w:eastAsiaTheme="minorEastAsia"/>
              </w:rPr>
            </w:pPr>
            <w:r>
              <w:rPr>
                <w:rFonts w:eastAsiaTheme="minorEastAsia"/>
              </w:rPr>
              <w:t>Completed January 2021</w:t>
            </w:r>
          </w:p>
          <w:p w14:paraId="535ED1B8" w14:textId="77777777" w:rsidR="003E3932" w:rsidRDefault="003E3932" w:rsidP="00431542"/>
          <w:p w14:paraId="77A0552F" w14:textId="77777777" w:rsidR="003E3932" w:rsidRDefault="003E3932" w:rsidP="00431542"/>
          <w:p w14:paraId="5CF0E801" w14:textId="77777777" w:rsidR="003E3932" w:rsidRDefault="003E3932" w:rsidP="00431542"/>
          <w:p w14:paraId="4BBFA798" w14:textId="2A4D79E8" w:rsidR="003E3932" w:rsidRDefault="003E3932" w:rsidP="00431542">
            <w:pPr>
              <w:pStyle w:val="ListParagraph"/>
              <w:ind w:left="360"/>
              <w:rPr>
                <w:rFonts w:asciiTheme="minorHAnsi" w:eastAsiaTheme="minorEastAsia" w:hAnsiTheme="minorHAnsi" w:cstheme="minorBidi"/>
              </w:rPr>
            </w:pPr>
          </w:p>
        </w:tc>
        <w:tc>
          <w:tcPr>
            <w:tcW w:w="1134" w:type="dxa"/>
            <w:shd w:val="clear" w:color="auto" w:fill="92D050"/>
          </w:tcPr>
          <w:p w14:paraId="55B18E73" w14:textId="23C9648E" w:rsidR="003E3932" w:rsidRDefault="003E3932" w:rsidP="00626515">
            <w:pPr>
              <w:spacing w:line="259" w:lineRule="auto"/>
            </w:pPr>
          </w:p>
        </w:tc>
        <w:tc>
          <w:tcPr>
            <w:tcW w:w="2693" w:type="dxa"/>
          </w:tcPr>
          <w:p w14:paraId="3E55292C" w14:textId="68E24247" w:rsidR="003E3932" w:rsidRPr="002910EA" w:rsidRDefault="002910EA" w:rsidP="002910EA">
            <w:pPr>
              <w:spacing w:line="259" w:lineRule="auto"/>
              <w:rPr>
                <w:i/>
              </w:rPr>
            </w:pPr>
            <w:r w:rsidRPr="002910EA">
              <w:rPr>
                <w:i/>
              </w:rPr>
              <w:t>There is no specific NICE guidance relating to ISC. There is however guidance on “</w:t>
            </w:r>
            <w:r w:rsidRPr="002910EA">
              <w:rPr>
                <w:i/>
                <w:iCs/>
              </w:rPr>
              <w:t>Urinary incontinence in neurological disease”</w:t>
            </w:r>
            <w:r w:rsidRPr="002910EA">
              <w:rPr>
                <w:i/>
              </w:rPr>
              <w:t xml:space="preserve">, which states that </w:t>
            </w:r>
            <w:r w:rsidRPr="002910EA">
              <w:rPr>
                <w:i/>
                <w:iCs/>
              </w:rPr>
              <w:t>“monitoring and surveillance of the kidneys should take place at annual or 2 yearly intervals”</w:t>
            </w:r>
          </w:p>
        </w:tc>
      </w:tr>
      <w:tr w:rsidR="003E3932" w14:paraId="77004A6E" w14:textId="77777777" w:rsidTr="00C01386">
        <w:trPr>
          <w:trHeight w:val="1610"/>
        </w:trPr>
        <w:tc>
          <w:tcPr>
            <w:tcW w:w="589" w:type="dxa"/>
            <w:vMerge/>
          </w:tcPr>
          <w:p w14:paraId="63EF239E" w14:textId="77777777" w:rsidR="003E3932" w:rsidRDefault="003E3932" w:rsidP="005371B2">
            <w:pPr>
              <w:jc w:val="center"/>
            </w:pPr>
          </w:p>
        </w:tc>
        <w:tc>
          <w:tcPr>
            <w:tcW w:w="3947" w:type="dxa"/>
            <w:vMerge/>
          </w:tcPr>
          <w:p w14:paraId="6836625A" w14:textId="77777777" w:rsidR="003E3932" w:rsidRPr="600DC73D" w:rsidRDefault="003E3932" w:rsidP="600DC73D">
            <w:pPr>
              <w:spacing w:after="240"/>
              <w:jc w:val="both"/>
              <w:rPr>
                <w:rFonts w:ascii="Gill Sans MT" w:eastAsia="Cambria" w:hAnsi="Gill Sans MT" w:cs="Arial"/>
              </w:rPr>
            </w:pPr>
          </w:p>
        </w:tc>
        <w:tc>
          <w:tcPr>
            <w:tcW w:w="3780" w:type="dxa"/>
          </w:tcPr>
          <w:p w14:paraId="0967FD80" w14:textId="75356387" w:rsidR="003E3932" w:rsidRDefault="003E3932" w:rsidP="003E3932">
            <w:pPr>
              <w:pStyle w:val="ListParagraph"/>
              <w:numPr>
                <w:ilvl w:val="0"/>
                <w:numId w:val="7"/>
              </w:numPr>
              <w:spacing w:after="0" w:line="240" w:lineRule="auto"/>
            </w:pPr>
            <w:r>
              <w:t>Establish whether the CCG can run searches to establish how many patients are being regularly prescribed single use catheters. Target practices with high usage.</w:t>
            </w:r>
          </w:p>
        </w:tc>
        <w:tc>
          <w:tcPr>
            <w:tcW w:w="2243" w:type="dxa"/>
          </w:tcPr>
          <w:p w14:paraId="7574D311" w14:textId="50ED4216" w:rsidR="003E3932" w:rsidRPr="003E3932" w:rsidRDefault="003E3932" w:rsidP="003E3932">
            <w:pPr>
              <w:pStyle w:val="ListParagraph"/>
              <w:numPr>
                <w:ilvl w:val="0"/>
                <w:numId w:val="2"/>
              </w:numPr>
              <w:ind w:left="360"/>
              <w:rPr>
                <w:rFonts w:asciiTheme="minorHAnsi" w:eastAsiaTheme="minorEastAsia" w:hAnsiTheme="minorHAnsi" w:cstheme="minorBidi"/>
              </w:rPr>
            </w:pPr>
            <w:r>
              <w:t>Medicines management</w:t>
            </w:r>
          </w:p>
        </w:tc>
        <w:tc>
          <w:tcPr>
            <w:tcW w:w="1207" w:type="dxa"/>
          </w:tcPr>
          <w:p w14:paraId="36C003FC" w14:textId="77777777" w:rsidR="003E3932" w:rsidRDefault="003E3932" w:rsidP="003E3932">
            <w:pPr>
              <w:pStyle w:val="ListParagraph"/>
              <w:numPr>
                <w:ilvl w:val="0"/>
                <w:numId w:val="1"/>
              </w:numPr>
              <w:spacing w:after="0" w:line="259" w:lineRule="auto"/>
              <w:ind w:left="360"/>
            </w:pPr>
            <w:r>
              <w:t>completed</w:t>
            </w:r>
          </w:p>
          <w:p w14:paraId="1DD21C87" w14:textId="77777777" w:rsidR="003E3932" w:rsidRDefault="003E3932" w:rsidP="003E3932">
            <w:pPr>
              <w:spacing w:line="259" w:lineRule="auto"/>
            </w:pPr>
          </w:p>
        </w:tc>
        <w:tc>
          <w:tcPr>
            <w:tcW w:w="1134" w:type="dxa"/>
            <w:shd w:val="clear" w:color="auto" w:fill="92D050"/>
          </w:tcPr>
          <w:p w14:paraId="209D2982" w14:textId="77777777" w:rsidR="003E3932" w:rsidRDefault="003E3932" w:rsidP="003E3932">
            <w:pPr>
              <w:pStyle w:val="ListParagraph"/>
              <w:spacing w:after="0" w:line="259" w:lineRule="auto"/>
              <w:ind w:left="360"/>
            </w:pPr>
          </w:p>
        </w:tc>
        <w:tc>
          <w:tcPr>
            <w:tcW w:w="2693" w:type="dxa"/>
          </w:tcPr>
          <w:p w14:paraId="484E181F" w14:textId="5C22C5DE" w:rsidR="003E3932" w:rsidRDefault="002910EA" w:rsidP="003E3932">
            <w:pPr>
              <w:spacing w:line="259" w:lineRule="auto"/>
            </w:pPr>
            <w:r>
              <w:t>Unable to establish whether the catheter is for intermittent or long-term use from prescribing data without looking into individual records</w:t>
            </w:r>
          </w:p>
        </w:tc>
      </w:tr>
      <w:tr w:rsidR="003E3932" w14:paraId="4F54F39D" w14:textId="77777777" w:rsidTr="00C01386">
        <w:trPr>
          <w:trHeight w:val="1610"/>
        </w:trPr>
        <w:tc>
          <w:tcPr>
            <w:tcW w:w="589" w:type="dxa"/>
            <w:vMerge/>
          </w:tcPr>
          <w:p w14:paraId="613450C0" w14:textId="77777777" w:rsidR="003E3932" w:rsidRDefault="003E3932" w:rsidP="005371B2">
            <w:pPr>
              <w:jc w:val="center"/>
            </w:pPr>
          </w:p>
        </w:tc>
        <w:tc>
          <w:tcPr>
            <w:tcW w:w="3947" w:type="dxa"/>
            <w:vMerge/>
          </w:tcPr>
          <w:p w14:paraId="2F0ABA15" w14:textId="77777777" w:rsidR="003E3932" w:rsidRPr="600DC73D" w:rsidRDefault="003E3932" w:rsidP="600DC73D">
            <w:pPr>
              <w:spacing w:after="240"/>
              <w:jc w:val="both"/>
              <w:rPr>
                <w:rFonts w:ascii="Gill Sans MT" w:eastAsia="Cambria" w:hAnsi="Gill Sans MT" w:cs="Arial"/>
              </w:rPr>
            </w:pPr>
          </w:p>
        </w:tc>
        <w:tc>
          <w:tcPr>
            <w:tcW w:w="3780" w:type="dxa"/>
          </w:tcPr>
          <w:p w14:paraId="4991736C" w14:textId="66594E04" w:rsidR="003E3932" w:rsidRDefault="003E3932" w:rsidP="003E3932">
            <w:pPr>
              <w:pStyle w:val="ListParagraph"/>
              <w:numPr>
                <w:ilvl w:val="0"/>
                <w:numId w:val="7"/>
              </w:numPr>
              <w:spacing w:after="0" w:line="240" w:lineRule="auto"/>
            </w:pPr>
            <w:r>
              <w:t xml:space="preserve">Through CCG newsletter, ensure that all GP practices are familiar with the CCG repeat prescribing protocol, in particular section 3.3: </w:t>
            </w:r>
            <w:r w:rsidRPr="46344E81">
              <w:rPr>
                <w:i/>
                <w:iCs/>
              </w:rPr>
              <w:t>“</w:t>
            </w:r>
            <w:r w:rsidRPr="46344E81">
              <w:rPr>
                <w:rFonts w:cs="Calibri"/>
                <w:i/>
                <w:iCs/>
                <w:color w:val="1F497D"/>
              </w:rPr>
              <w:t>Measures should be put into place to ensure that reviews, monitoring and medicine end dates are not missed. These include appliances.”</w:t>
            </w:r>
          </w:p>
        </w:tc>
        <w:tc>
          <w:tcPr>
            <w:tcW w:w="2243" w:type="dxa"/>
          </w:tcPr>
          <w:p w14:paraId="6C05CE1F" w14:textId="0CA2CF69" w:rsidR="003E3932" w:rsidRDefault="003E3932" w:rsidP="00431542">
            <w:pPr>
              <w:pStyle w:val="ListParagraph"/>
              <w:numPr>
                <w:ilvl w:val="0"/>
                <w:numId w:val="2"/>
              </w:numPr>
              <w:ind w:left="360"/>
            </w:pPr>
            <w:r>
              <w:t>Designated Nurse for Adult Safeguarding</w:t>
            </w:r>
          </w:p>
        </w:tc>
        <w:tc>
          <w:tcPr>
            <w:tcW w:w="1207" w:type="dxa"/>
          </w:tcPr>
          <w:p w14:paraId="35C17DF0" w14:textId="5BB38201" w:rsidR="003E3932" w:rsidRPr="00626515" w:rsidRDefault="00626515" w:rsidP="00626515">
            <w:pPr>
              <w:rPr>
                <w:rFonts w:eastAsiaTheme="minorEastAsia"/>
              </w:rPr>
            </w:pPr>
            <w:r>
              <w:rPr>
                <w:rFonts w:eastAsiaTheme="minorEastAsia"/>
              </w:rPr>
              <w:t>Completed Feb 2021</w:t>
            </w:r>
          </w:p>
        </w:tc>
        <w:tc>
          <w:tcPr>
            <w:tcW w:w="1134" w:type="dxa"/>
            <w:shd w:val="clear" w:color="auto" w:fill="92D050"/>
          </w:tcPr>
          <w:p w14:paraId="5B0931A2" w14:textId="77777777" w:rsidR="003E3932" w:rsidRDefault="003E3932" w:rsidP="003E3932">
            <w:pPr>
              <w:pStyle w:val="ListParagraph"/>
              <w:spacing w:after="0" w:line="259" w:lineRule="auto"/>
              <w:ind w:left="360"/>
            </w:pPr>
          </w:p>
        </w:tc>
        <w:tc>
          <w:tcPr>
            <w:tcW w:w="2693" w:type="dxa"/>
          </w:tcPr>
          <w:p w14:paraId="0AC1FEB4" w14:textId="15D563D8" w:rsidR="003E3932" w:rsidRPr="002910EA" w:rsidRDefault="002910EA" w:rsidP="003E3932">
            <w:pPr>
              <w:spacing w:line="259" w:lineRule="auto"/>
              <w:rPr>
                <w:i/>
              </w:rPr>
            </w:pPr>
            <w:r w:rsidRPr="002910EA">
              <w:rPr>
                <w:i/>
              </w:rPr>
              <w:t>Adult safeguarding newsletter sent out to all GP practices</w:t>
            </w:r>
          </w:p>
        </w:tc>
      </w:tr>
      <w:tr w:rsidR="003E3932" w14:paraId="6FEF9C10" w14:textId="6419571F" w:rsidTr="00C01386">
        <w:trPr>
          <w:trHeight w:val="1165"/>
        </w:trPr>
        <w:tc>
          <w:tcPr>
            <w:tcW w:w="589" w:type="dxa"/>
            <w:vMerge w:val="restart"/>
          </w:tcPr>
          <w:p w14:paraId="513E7209" w14:textId="77777777" w:rsidR="003E3932" w:rsidRDefault="003E3932" w:rsidP="005371B2">
            <w:pPr>
              <w:jc w:val="center"/>
            </w:pPr>
            <w:r>
              <w:t>2</w:t>
            </w:r>
          </w:p>
        </w:tc>
        <w:tc>
          <w:tcPr>
            <w:tcW w:w="3947" w:type="dxa"/>
            <w:vMerge w:val="restart"/>
          </w:tcPr>
          <w:p w14:paraId="63A99FCE" w14:textId="77777777" w:rsidR="003E3932" w:rsidRPr="00D3026F" w:rsidRDefault="003E3932" w:rsidP="00D3026F">
            <w:pPr>
              <w:spacing w:after="240"/>
              <w:jc w:val="both"/>
              <w:rPr>
                <w:rFonts w:ascii="Gill Sans MT" w:eastAsia="Cambria" w:hAnsi="Gill Sans MT" w:cs="Arial"/>
              </w:rPr>
            </w:pPr>
            <w:r w:rsidRPr="00D3026F">
              <w:rPr>
                <w:rFonts w:ascii="Gill Sans MT" w:eastAsia="Cambria" w:hAnsi="Gill Sans MT" w:cs="Arial"/>
              </w:rPr>
              <w:t xml:space="preserve">If patients do not attend for scheduled health reviews of ISC, then GPs </w:t>
            </w:r>
            <w:r w:rsidRPr="00415629">
              <w:rPr>
                <w:rFonts w:ascii="Gill Sans MT" w:eastAsia="Cambria" w:hAnsi="Gill Sans MT" w:cs="Arial"/>
              </w:rPr>
              <w:t xml:space="preserve">should </w:t>
            </w:r>
            <w:r w:rsidRPr="0075085C">
              <w:rPr>
                <w:rFonts w:ascii="Gill Sans MT" w:eastAsia="Cambria" w:hAnsi="Gill Sans MT" w:cs="Arial"/>
              </w:rPr>
              <w:t>c</w:t>
            </w:r>
            <w:r>
              <w:rPr>
                <w:rFonts w:ascii="Gill Sans MT" w:eastAsia="Cambria" w:hAnsi="Gill Sans MT" w:cs="Arial"/>
              </w:rPr>
              <w:t>onsider whether they need to be</w:t>
            </w:r>
            <w:r w:rsidRPr="0075085C">
              <w:rPr>
                <w:rFonts w:ascii="Gill Sans MT" w:eastAsia="Cambria" w:hAnsi="Gill Sans MT" w:cs="Arial"/>
              </w:rPr>
              <w:t xml:space="preserve"> </w:t>
            </w:r>
            <w:r w:rsidRPr="00D3026F">
              <w:rPr>
                <w:rFonts w:ascii="Gill Sans MT" w:eastAsia="Cambria" w:hAnsi="Gill Sans MT" w:cs="Arial"/>
              </w:rPr>
              <w:lastRenderedPageBreak/>
              <w:t>followed up by an appropriate community health service, such as District Nursing.</w:t>
            </w:r>
          </w:p>
        </w:tc>
        <w:tc>
          <w:tcPr>
            <w:tcW w:w="3780" w:type="dxa"/>
          </w:tcPr>
          <w:p w14:paraId="7D64882F" w14:textId="77777777" w:rsidR="003E3932" w:rsidRDefault="003E3932" w:rsidP="008B172E">
            <w:pPr>
              <w:pStyle w:val="ListParagraph"/>
              <w:numPr>
                <w:ilvl w:val="0"/>
                <w:numId w:val="9"/>
              </w:numPr>
              <w:spacing w:after="0" w:line="240" w:lineRule="auto"/>
            </w:pPr>
            <w:r>
              <w:lastRenderedPageBreak/>
              <w:t>Provide advice and guidance to GP practices on the learning from this SAR through the CCG newsletter.</w:t>
            </w:r>
          </w:p>
          <w:p w14:paraId="7D2DBD2C" w14:textId="77777777" w:rsidR="003E3932" w:rsidRDefault="003E3932" w:rsidP="003E3932"/>
        </w:tc>
        <w:tc>
          <w:tcPr>
            <w:tcW w:w="2243" w:type="dxa"/>
          </w:tcPr>
          <w:p w14:paraId="5EBF30B3" w14:textId="77777777" w:rsidR="003E3932" w:rsidRDefault="003E3932" w:rsidP="00431542">
            <w:pPr>
              <w:pStyle w:val="ListParagraph"/>
              <w:numPr>
                <w:ilvl w:val="0"/>
                <w:numId w:val="10"/>
              </w:numPr>
              <w:spacing w:after="0" w:line="240" w:lineRule="auto"/>
            </w:pPr>
            <w:r>
              <w:t>Designated Nurse for Adult Safeguarding</w:t>
            </w:r>
          </w:p>
          <w:p w14:paraId="71F886EE" w14:textId="5EB0A336" w:rsidR="003E3932" w:rsidRDefault="003E3932" w:rsidP="003E3932"/>
        </w:tc>
        <w:tc>
          <w:tcPr>
            <w:tcW w:w="1207" w:type="dxa"/>
          </w:tcPr>
          <w:p w14:paraId="0FACB6DB" w14:textId="63C8E2E3" w:rsidR="003E3932" w:rsidRDefault="00626515" w:rsidP="00626515">
            <w:r>
              <w:t>Completed February 2021</w:t>
            </w:r>
          </w:p>
        </w:tc>
        <w:tc>
          <w:tcPr>
            <w:tcW w:w="1134" w:type="dxa"/>
            <w:shd w:val="clear" w:color="auto" w:fill="92D050"/>
          </w:tcPr>
          <w:p w14:paraId="3C2F60EA" w14:textId="77777777" w:rsidR="003E3932" w:rsidRDefault="003E3932" w:rsidP="00F01541"/>
        </w:tc>
        <w:tc>
          <w:tcPr>
            <w:tcW w:w="2693" w:type="dxa"/>
          </w:tcPr>
          <w:p w14:paraId="3B302DCF" w14:textId="460CDA94" w:rsidR="003E3932" w:rsidRPr="002910EA" w:rsidRDefault="002910EA" w:rsidP="002910EA">
            <w:pPr>
              <w:jc w:val="both"/>
              <w:rPr>
                <w:i/>
              </w:rPr>
            </w:pPr>
            <w:r w:rsidRPr="002910EA">
              <w:rPr>
                <w:i/>
              </w:rPr>
              <w:t>Adult</w:t>
            </w:r>
            <w:r w:rsidR="00C01386">
              <w:rPr>
                <w:i/>
              </w:rPr>
              <w:t xml:space="preserve"> </w:t>
            </w:r>
            <w:r w:rsidRPr="002910EA">
              <w:rPr>
                <w:i/>
              </w:rPr>
              <w:t>safeguarding newsletter sent out to all GP practices</w:t>
            </w:r>
          </w:p>
        </w:tc>
      </w:tr>
      <w:tr w:rsidR="003E3932" w14:paraId="4A6DD3DB" w14:textId="77777777" w:rsidTr="00C01386">
        <w:trPr>
          <w:trHeight w:val="1165"/>
        </w:trPr>
        <w:tc>
          <w:tcPr>
            <w:tcW w:w="589" w:type="dxa"/>
            <w:vMerge/>
          </w:tcPr>
          <w:p w14:paraId="4F5BEAB6" w14:textId="77777777" w:rsidR="003E3932" w:rsidRDefault="003E3932" w:rsidP="005371B2">
            <w:pPr>
              <w:jc w:val="center"/>
            </w:pPr>
          </w:p>
        </w:tc>
        <w:tc>
          <w:tcPr>
            <w:tcW w:w="3947" w:type="dxa"/>
            <w:vMerge/>
          </w:tcPr>
          <w:p w14:paraId="14482734" w14:textId="77777777" w:rsidR="003E3932" w:rsidRPr="00D3026F" w:rsidRDefault="003E3932" w:rsidP="00D3026F">
            <w:pPr>
              <w:spacing w:after="240"/>
              <w:jc w:val="both"/>
              <w:rPr>
                <w:rFonts w:ascii="Gill Sans MT" w:eastAsia="Cambria" w:hAnsi="Gill Sans MT" w:cs="Arial"/>
              </w:rPr>
            </w:pPr>
          </w:p>
        </w:tc>
        <w:tc>
          <w:tcPr>
            <w:tcW w:w="3780" w:type="dxa"/>
          </w:tcPr>
          <w:p w14:paraId="2F14BCA0" w14:textId="7B90A278" w:rsidR="003E3932" w:rsidRDefault="003E3932" w:rsidP="003E3932">
            <w:pPr>
              <w:pStyle w:val="ListParagraph"/>
              <w:numPr>
                <w:ilvl w:val="0"/>
                <w:numId w:val="9"/>
              </w:numPr>
              <w:spacing w:after="0" w:line="240" w:lineRule="auto"/>
            </w:pPr>
            <w:r>
              <w:t>Incorporate learning from this SAR into adult safeguarding training</w:t>
            </w:r>
          </w:p>
        </w:tc>
        <w:tc>
          <w:tcPr>
            <w:tcW w:w="2243" w:type="dxa"/>
          </w:tcPr>
          <w:p w14:paraId="17844623" w14:textId="77777777" w:rsidR="003E3932" w:rsidRDefault="003E3932" w:rsidP="003E3932">
            <w:pPr>
              <w:pStyle w:val="ListParagraph"/>
              <w:numPr>
                <w:ilvl w:val="0"/>
                <w:numId w:val="9"/>
              </w:numPr>
              <w:spacing w:after="0" w:line="240" w:lineRule="auto"/>
            </w:pPr>
            <w:r>
              <w:t>Designated Nurse for Adult Safeguarding</w:t>
            </w:r>
          </w:p>
          <w:p w14:paraId="49950B95" w14:textId="77777777" w:rsidR="003E3932" w:rsidRDefault="003E3932" w:rsidP="003E3932"/>
        </w:tc>
        <w:tc>
          <w:tcPr>
            <w:tcW w:w="1207" w:type="dxa"/>
          </w:tcPr>
          <w:p w14:paraId="75EA3B93" w14:textId="7ED75AA4" w:rsidR="003E3932" w:rsidRDefault="00626515" w:rsidP="00626515">
            <w:r>
              <w:t>Completed March 2021</w:t>
            </w:r>
          </w:p>
        </w:tc>
        <w:tc>
          <w:tcPr>
            <w:tcW w:w="1134" w:type="dxa"/>
            <w:shd w:val="clear" w:color="auto" w:fill="92D050"/>
          </w:tcPr>
          <w:p w14:paraId="35FC7E8C" w14:textId="77777777" w:rsidR="003E3932" w:rsidRDefault="003E3932" w:rsidP="00F01541">
            <w:pPr>
              <w:pStyle w:val="ListParagraph"/>
              <w:spacing w:after="0" w:line="240" w:lineRule="auto"/>
              <w:ind w:left="360"/>
            </w:pPr>
          </w:p>
        </w:tc>
        <w:tc>
          <w:tcPr>
            <w:tcW w:w="2693" w:type="dxa"/>
          </w:tcPr>
          <w:p w14:paraId="140B728E" w14:textId="3BE9AB4A" w:rsidR="003E3932" w:rsidRPr="002910EA" w:rsidRDefault="002910EA" w:rsidP="00F01541">
            <w:pPr>
              <w:rPr>
                <w:i/>
              </w:rPr>
            </w:pPr>
            <w:r w:rsidRPr="002910EA">
              <w:rPr>
                <w:i/>
              </w:rPr>
              <w:t>Included in adult safeguarding training. Also discussed with GP adult safeguarding leads on 21</w:t>
            </w:r>
            <w:r w:rsidRPr="002910EA">
              <w:rPr>
                <w:i/>
                <w:vertAlign w:val="superscript"/>
              </w:rPr>
              <w:t>st</w:t>
            </w:r>
            <w:r w:rsidRPr="002910EA">
              <w:rPr>
                <w:i/>
              </w:rPr>
              <w:t xml:space="preserve"> October 2021</w:t>
            </w:r>
          </w:p>
          <w:p w14:paraId="328F9C59" w14:textId="440F2501" w:rsidR="002910EA" w:rsidRPr="002910EA" w:rsidRDefault="002910EA" w:rsidP="002910EA"/>
        </w:tc>
      </w:tr>
      <w:tr w:rsidR="003E3932" w14:paraId="3CFEA83E" w14:textId="77777777" w:rsidTr="00C01386">
        <w:trPr>
          <w:trHeight w:val="1165"/>
        </w:trPr>
        <w:tc>
          <w:tcPr>
            <w:tcW w:w="589" w:type="dxa"/>
            <w:vMerge/>
          </w:tcPr>
          <w:p w14:paraId="72654402" w14:textId="77777777" w:rsidR="003E3932" w:rsidRDefault="003E3932" w:rsidP="005371B2">
            <w:pPr>
              <w:jc w:val="center"/>
            </w:pPr>
          </w:p>
        </w:tc>
        <w:tc>
          <w:tcPr>
            <w:tcW w:w="3947" w:type="dxa"/>
            <w:vMerge/>
          </w:tcPr>
          <w:p w14:paraId="31EEFD8F" w14:textId="77777777" w:rsidR="003E3932" w:rsidRPr="00D3026F" w:rsidRDefault="003E3932" w:rsidP="00D3026F">
            <w:pPr>
              <w:spacing w:after="240"/>
              <w:jc w:val="both"/>
              <w:rPr>
                <w:rFonts w:ascii="Gill Sans MT" w:eastAsia="Cambria" w:hAnsi="Gill Sans MT" w:cs="Arial"/>
              </w:rPr>
            </w:pPr>
          </w:p>
        </w:tc>
        <w:tc>
          <w:tcPr>
            <w:tcW w:w="3780" w:type="dxa"/>
          </w:tcPr>
          <w:p w14:paraId="3882221A" w14:textId="51463DB3" w:rsidR="003E3932" w:rsidRDefault="003E3932" w:rsidP="003E3932">
            <w:pPr>
              <w:pStyle w:val="ListParagraph"/>
              <w:numPr>
                <w:ilvl w:val="0"/>
                <w:numId w:val="9"/>
              </w:numPr>
              <w:spacing w:after="0" w:line="240" w:lineRule="auto"/>
            </w:pPr>
            <w:r>
              <w:t>Named GP to discuss with GP practices</w:t>
            </w:r>
          </w:p>
        </w:tc>
        <w:tc>
          <w:tcPr>
            <w:tcW w:w="2243" w:type="dxa"/>
          </w:tcPr>
          <w:p w14:paraId="73632066" w14:textId="3972380B" w:rsidR="003E3932" w:rsidRDefault="003E3932" w:rsidP="00431542">
            <w:pPr>
              <w:pStyle w:val="ListParagraph"/>
              <w:numPr>
                <w:ilvl w:val="0"/>
                <w:numId w:val="10"/>
              </w:numPr>
              <w:spacing w:after="0" w:line="240" w:lineRule="auto"/>
            </w:pPr>
            <w:r>
              <w:t>Named GP for Adult Safeguarding</w:t>
            </w:r>
          </w:p>
        </w:tc>
        <w:tc>
          <w:tcPr>
            <w:tcW w:w="1207" w:type="dxa"/>
          </w:tcPr>
          <w:p w14:paraId="3CDEEAE8" w14:textId="14B71579" w:rsidR="003E3932" w:rsidRDefault="00626515" w:rsidP="00626515">
            <w:r>
              <w:t>Completed October 2021</w:t>
            </w:r>
          </w:p>
        </w:tc>
        <w:tc>
          <w:tcPr>
            <w:tcW w:w="1134" w:type="dxa"/>
            <w:shd w:val="clear" w:color="auto" w:fill="92D050"/>
          </w:tcPr>
          <w:p w14:paraId="4EE697E1" w14:textId="77777777" w:rsidR="003E3932" w:rsidRDefault="003E3932" w:rsidP="00F01541">
            <w:pPr>
              <w:pStyle w:val="ListParagraph"/>
              <w:spacing w:after="0" w:line="240" w:lineRule="auto"/>
              <w:ind w:left="360"/>
            </w:pPr>
          </w:p>
        </w:tc>
        <w:tc>
          <w:tcPr>
            <w:tcW w:w="2693" w:type="dxa"/>
          </w:tcPr>
          <w:p w14:paraId="7F5D6528" w14:textId="4070319E" w:rsidR="003E3932" w:rsidRPr="002910EA" w:rsidRDefault="00626515" w:rsidP="00F01541">
            <w:pPr>
              <w:rPr>
                <w:i/>
              </w:rPr>
            </w:pPr>
            <w:r w:rsidRPr="002910EA">
              <w:rPr>
                <w:i/>
              </w:rPr>
              <w:t>Named GP discussed at GP forum on 21</w:t>
            </w:r>
            <w:r w:rsidRPr="002910EA">
              <w:rPr>
                <w:i/>
                <w:vertAlign w:val="superscript"/>
              </w:rPr>
              <w:t>st</w:t>
            </w:r>
            <w:r w:rsidRPr="002910EA">
              <w:rPr>
                <w:i/>
              </w:rPr>
              <w:t xml:space="preserve"> October 2021</w:t>
            </w:r>
          </w:p>
        </w:tc>
      </w:tr>
      <w:tr w:rsidR="00F01541" w14:paraId="36D7C4E9" w14:textId="425A271B" w:rsidTr="00C01386">
        <w:trPr>
          <w:trHeight w:val="1295"/>
        </w:trPr>
        <w:tc>
          <w:tcPr>
            <w:tcW w:w="589" w:type="dxa"/>
            <w:vMerge w:val="restart"/>
          </w:tcPr>
          <w:p w14:paraId="56430DF8" w14:textId="77777777" w:rsidR="00F01541" w:rsidRDefault="00F01541" w:rsidP="005371B2">
            <w:pPr>
              <w:jc w:val="center"/>
            </w:pPr>
            <w:r>
              <w:t>3</w:t>
            </w:r>
          </w:p>
        </w:tc>
        <w:tc>
          <w:tcPr>
            <w:tcW w:w="3947" w:type="dxa"/>
            <w:vMerge w:val="restart"/>
          </w:tcPr>
          <w:p w14:paraId="657BBC2E" w14:textId="128FFC58" w:rsidR="00F01541" w:rsidRPr="00D3026F" w:rsidRDefault="00F01541" w:rsidP="00D3026F">
            <w:pPr>
              <w:spacing w:after="240"/>
              <w:jc w:val="both"/>
              <w:rPr>
                <w:rFonts w:ascii="Gill Sans MT" w:eastAsia="Cambria" w:hAnsi="Gill Sans MT" w:cs="Arial"/>
              </w:rPr>
            </w:pPr>
            <w:r w:rsidRPr="00D3026F">
              <w:rPr>
                <w:rFonts w:ascii="Gill Sans MT" w:eastAsia="Cambria" w:hAnsi="Gill Sans MT" w:cs="Arial"/>
              </w:rPr>
              <w:t xml:space="preserve">That patients with urinary and faecal incontinence, who also have a </w:t>
            </w:r>
            <w:r w:rsidR="00C01386" w:rsidRPr="00D3026F">
              <w:rPr>
                <w:rFonts w:ascii="Gill Sans MT" w:eastAsia="Cambria" w:hAnsi="Gill Sans MT" w:cs="Arial"/>
              </w:rPr>
              <w:t>long-term</w:t>
            </w:r>
            <w:r w:rsidRPr="00D3026F">
              <w:rPr>
                <w:rFonts w:ascii="Gill Sans MT" w:eastAsia="Cambria" w:hAnsi="Gill Sans MT" w:cs="Arial"/>
              </w:rPr>
              <w:t xml:space="preserve"> neurological condition (such as Spina Bifida) are flagged up on GP health records as being at high risk of complications and always given appropriate advice and support to identify and report any concerns regarding infections etc.</w:t>
            </w:r>
          </w:p>
        </w:tc>
        <w:tc>
          <w:tcPr>
            <w:tcW w:w="3780" w:type="dxa"/>
          </w:tcPr>
          <w:p w14:paraId="6BC62A0A" w14:textId="365DDA95" w:rsidR="00F01541" w:rsidRDefault="00F01541" w:rsidP="0081773E">
            <w:pPr>
              <w:pStyle w:val="ListParagraph"/>
              <w:numPr>
                <w:ilvl w:val="0"/>
                <w:numId w:val="12"/>
              </w:numPr>
              <w:spacing w:after="0" w:line="240" w:lineRule="auto"/>
            </w:pPr>
            <w:r>
              <w:t>Liaise with IT regarding whether this is possible on GP systems or whether this can be done at a practice level</w:t>
            </w:r>
          </w:p>
        </w:tc>
        <w:tc>
          <w:tcPr>
            <w:tcW w:w="2243" w:type="dxa"/>
          </w:tcPr>
          <w:p w14:paraId="2C47ACDB" w14:textId="77777777" w:rsidR="00F01541" w:rsidRDefault="00F01541" w:rsidP="00431542">
            <w:pPr>
              <w:pStyle w:val="ListParagraph"/>
              <w:numPr>
                <w:ilvl w:val="0"/>
                <w:numId w:val="13"/>
              </w:numPr>
              <w:spacing w:after="0" w:line="240" w:lineRule="auto"/>
            </w:pPr>
            <w:r>
              <w:t>Named GP for Adult Safeguarding</w:t>
            </w:r>
          </w:p>
          <w:p w14:paraId="3393BBCC" w14:textId="77777777" w:rsidR="00F01541" w:rsidRDefault="00F01541" w:rsidP="00F01541"/>
        </w:tc>
        <w:tc>
          <w:tcPr>
            <w:tcW w:w="1207" w:type="dxa"/>
          </w:tcPr>
          <w:p w14:paraId="0721CD90" w14:textId="6A2E1EBD" w:rsidR="00F01541" w:rsidRDefault="00626515" w:rsidP="00626515">
            <w:r>
              <w:t>March 2021</w:t>
            </w:r>
          </w:p>
        </w:tc>
        <w:tc>
          <w:tcPr>
            <w:tcW w:w="1134" w:type="dxa"/>
            <w:shd w:val="clear" w:color="auto" w:fill="FF0000"/>
          </w:tcPr>
          <w:p w14:paraId="75692139" w14:textId="77777777" w:rsidR="00F01541" w:rsidRDefault="00F01541" w:rsidP="00626515">
            <w:pPr>
              <w:pStyle w:val="ListParagraph"/>
              <w:spacing w:after="0" w:line="240" w:lineRule="auto"/>
              <w:ind w:left="360"/>
            </w:pPr>
          </w:p>
        </w:tc>
        <w:tc>
          <w:tcPr>
            <w:tcW w:w="2693" w:type="dxa"/>
          </w:tcPr>
          <w:p w14:paraId="179B0689" w14:textId="4F1E267B" w:rsidR="00F01541" w:rsidRDefault="00C01386" w:rsidP="00626515">
            <w:r>
              <w:t xml:space="preserve">Uncompleted </w:t>
            </w:r>
          </w:p>
        </w:tc>
      </w:tr>
      <w:tr w:rsidR="00F01541" w14:paraId="7E6B83B4" w14:textId="77777777" w:rsidTr="00C01386">
        <w:trPr>
          <w:trHeight w:val="1295"/>
        </w:trPr>
        <w:tc>
          <w:tcPr>
            <w:tcW w:w="589" w:type="dxa"/>
            <w:vMerge/>
          </w:tcPr>
          <w:p w14:paraId="0F44E2CD" w14:textId="77777777" w:rsidR="00F01541" w:rsidRDefault="00F01541" w:rsidP="005371B2">
            <w:pPr>
              <w:jc w:val="center"/>
            </w:pPr>
          </w:p>
        </w:tc>
        <w:tc>
          <w:tcPr>
            <w:tcW w:w="3947" w:type="dxa"/>
            <w:vMerge/>
          </w:tcPr>
          <w:p w14:paraId="60BD9109" w14:textId="77777777" w:rsidR="00F01541" w:rsidRPr="00D3026F" w:rsidRDefault="00F01541" w:rsidP="00D3026F">
            <w:pPr>
              <w:spacing w:after="240"/>
              <w:jc w:val="both"/>
              <w:rPr>
                <w:rFonts w:ascii="Gill Sans MT" w:eastAsia="Cambria" w:hAnsi="Gill Sans MT" w:cs="Arial"/>
              </w:rPr>
            </w:pPr>
          </w:p>
        </w:tc>
        <w:tc>
          <w:tcPr>
            <w:tcW w:w="3780" w:type="dxa"/>
          </w:tcPr>
          <w:p w14:paraId="6371F9CF" w14:textId="4CA498C4" w:rsidR="00F01541" w:rsidRDefault="00F01541" w:rsidP="00F01541">
            <w:pPr>
              <w:pStyle w:val="ListParagraph"/>
              <w:numPr>
                <w:ilvl w:val="0"/>
                <w:numId w:val="12"/>
              </w:numPr>
            </w:pPr>
            <w:r w:rsidRPr="008B172E">
              <w:t>Provide advice and guidance to GP practices on the learning from this SAR through the CCG newsletter.</w:t>
            </w:r>
          </w:p>
        </w:tc>
        <w:tc>
          <w:tcPr>
            <w:tcW w:w="2243" w:type="dxa"/>
          </w:tcPr>
          <w:p w14:paraId="2689577D" w14:textId="42B1A46B" w:rsidR="00F01541" w:rsidRDefault="00F01541" w:rsidP="00F01541">
            <w:pPr>
              <w:pStyle w:val="ListParagraph"/>
              <w:numPr>
                <w:ilvl w:val="0"/>
                <w:numId w:val="13"/>
              </w:numPr>
              <w:spacing w:after="0" w:line="240" w:lineRule="auto"/>
            </w:pPr>
            <w:r>
              <w:t>Designated Nurse for Adult Safeguarding</w:t>
            </w:r>
          </w:p>
        </w:tc>
        <w:tc>
          <w:tcPr>
            <w:tcW w:w="1207" w:type="dxa"/>
          </w:tcPr>
          <w:p w14:paraId="7DEE0F5A" w14:textId="5E749580" w:rsidR="00F01541" w:rsidRDefault="00626515" w:rsidP="00626515">
            <w:r>
              <w:t>Feb 2021</w:t>
            </w:r>
          </w:p>
        </w:tc>
        <w:tc>
          <w:tcPr>
            <w:tcW w:w="1134" w:type="dxa"/>
            <w:shd w:val="clear" w:color="auto" w:fill="92D050"/>
          </w:tcPr>
          <w:p w14:paraId="30CFF1B2" w14:textId="77777777" w:rsidR="00F01541" w:rsidRDefault="00F01541" w:rsidP="00626515"/>
        </w:tc>
        <w:tc>
          <w:tcPr>
            <w:tcW w:w="2693" w:type="dxa"/>
          </w:tcPr>
          <w:p w14:paraId="34781933" w14:textId="292FF878" w:rsidR="00F01541" w:rsidRPr="002910EA" w:rsidRDefault="002910EA" w:rsidP="00626515">
            <w:pPr>
              <w:rPr>
                <w:i/>
              </w:rPr>
            </w:pPr>
            <w:r w:rsidRPr="002910EA">
              <w:rPr>
                <w:i/>
              </w:rPr>
              <w:t>Adult safeguarding newsletter sent out to all GP practices Also discussed with GP adult safeguarding leads on 21st October 2021</w:t>
            </w:r>
          </w:p>
        </w:tc>
      </w:tr>
      <w:tr w:rsidR="00F01541" w14:paraId="315B29EF" w14:textId="77777777" w:rsidTr="00C01386">
        <w:trPr>
          <w:trHeight w:val="1295"/>
        </w:trPr>
        <w:tc>
          <w:tcPr>
            <w:tcW w:w="589" w:type="dxa"/>
            <w:vMerge/>
          </w:tcPr>
          <w:p w14:paraId="7DA889D9" w14:textId="77777777" w:rsidR="00F01541" w:rsidRDefault="00F01541" w:rsidP="005371B2">
            <w:pPr>
              <w:jc w:val="center"/>
            </w:pPr>
          </w:p>
        </w:tc>
        <w:tc>
          <w:tcPr>
            <w:tcW w:w="3947" w:type="dxa"/>
            <w:vMerge/>
          </w:tcPr>
          <w:p w14:paraId="45BD349B" w14:textId="77777777" w:rsidR="00F01541" w:rsidRPr="00D3026F" w:rsidRDefault="00F01541" w:rsidP="00D3026F">
            <w:pPr>
              <w:spacing w:after="240"/>
              <w:jc w:val="both"/>
              <w:rPr>
                <w:rFonts w:ascii="Gill Sans MT" w:eastAsia="Cambria" w:hAnsi="Gill Sans MT" w:cs="Arial"/>
              </w:rPr>
            </w:pPr>
          </w:p>
        </w:tc>
        <w:tc>
          <w:tcPr>
            <w:tcW w:w="3780" w:type="dxa"/>
          </w:tcPr>
          <w:p w14:paraId="0697F202" w14:textId="36DEE50E" w:rsidR="00F01541" w:rsidRDefault="00F01541" w:rsidP="00F01541">
            <w:pPr>
              <w:pStyle w:val="ListParagraph"/>
              <w:numPr>
                <w:ilvl w:val="0"/>
                <w:numId w:val="12"/>
              </w:numPr>
              <w:spacing w:after="0" w:line="240" w:lineRule="auto"/>
            </w:pPr>
            <w:r>
              <w:t>Consider the development of a PMS premium relating to neurological conditions and incontinence</w:t>
            </w:r>
          </w:p>
        </w:tc>
        <w:tc>
          <w:tcPr>
            <w:tcW w:w="2243" w:type="dxa"/>
          </w:tcPr>
          <w:p w14:paraId="0E2BE616" w14:textId="05AAE2D4" w:rsidR="00F01541" w:rsidRDefault="00F01541" w:rsidP="00F01541">
            <w:pPr>
              <w:pStyle w:val="ListParagraph"/>
              <w:numPr>
                <w:ilvl w:val="0"/>
                <w:numId w:val="13"/>
              </w:numPr>
            </w:pPr>
            <w:r w:rsidRPr="008B172E">
              <w:t>Named GP for Adult Safeguarding</w:t>
            </w:r>
          </w:p>
        </w:tc>
        <w:tc>
          <w:tcPr>
            <w:tcW w:w="1207" w:type="dxa"/>
          </w:tcPr>
          <w:p w14:paraId="452685AD" w14:textId="6B478ADD" w:rsidR="00F01541" w:rsidRDefault="00626515" w:rsidP="00626515">
            <w:r>
              <w:t>September 2021</w:t>
            </w:r>
          </w:p>
        </w:tc>
        <w:tc>
          <w:tcPr>
            <w:tcW w:w="1134" w:type="dxa"/>
            <w:shd w:val="clear" w:color="auto" w:fill="FF0000"/>
          </w:tcPr>
          <w:p w14:paraId="71E313B6" w14:textId="77777777" w:rsidR="00F01541" w:rsidRDefault="00F01541" w:rsidP="00626515"/>
        </w:tc>
        <w:tc>
          <w:tcPr>
            <w:tcW w:w="2693" w:type="dxa"/>
          </w:tcPr>
          <w:p w14:paraId="2F783377" w14:textId="44978ECD" w:rsidR="00F01541" w:rsidRDefault="00626515" w:rsidP="00626515">
            <w:r>
              <w:t xml:space="preserve">Uncompleted </w:t>
            </w:r>
          </w:p>
        </w:tc>
      </w:tr>
      <w:tr w:rsidR="003E3932" w14:paraId="2E94D258" w14:textId="31567370" w:rsidTr="00C01386">
        <w:tc>
          <w:tcPr>
            <w:tcW w:w="589" w:type="dxa"/>
          </w:tcPr>
          <w:p w14:paraId="0EA9EFF2" w14:textId="77777777" w:rsidR="003E3932" w:rsidRDefault="003E3932" w:rsidP="005371B2">
            <w:pPr>
              <w:jc w:val="center"/>
            </w:pPr>
            <w:r>
              <w:t>4</w:t>
            </w:r>
          </w:p>
        </w:tc>
        <w:tc>
          <w:tcPr>
            <w:tcW w:w="3947" w:type="dxa"/>
          </w:tcPr>
          <w:p w14:paraId="2866CD77" w14:textId="77777777" w:rsidR="003E3932" w:rsidRPr="005F6933" w:rsidRDefault="003E3932" w:rsidP="005F6933">
            <w:pPr>
              <w:spacing w:after="240"/>
              <w:jc w:val="both"/>
              <w:rPr>
                <w:rFonts w:ascii="Gill Sans MT" w:eastAsia="Cambria" w:hAnsi="Gill Sans MT" w:cs="Arial"/>
              </w:rPr>
            </w:pPr>
            <w:r w:rsidRPr="00D3026F">
              <w:rPr>
                <w:rFonts w:ascii="Gill Sans MT" w:eastAsia="Cambria" w:hAnsi="Gill Sans MT" w:cs="Arial"/>
              </w:rPr>
              <w:t>Ensure expert advice and consultation on the impact of this condition is available to support health practitioners across local services.</w:t>
            </w:r>
          </w:p>
        </w:tc>
        <w:tc>
          <w:tcPr>
            <w:tcW w:w="3780" w:type="dxa"/>
          </w:tcPr>
          <w:p w14:paraId="0AE50AB3" w14:textId="77777777" w:rsidR="003E3932" w:rsidRDefault="003E3932" w:rsidP="008B172E">
            <w:pPr>
              <w:pStyle w:val="ListParagraph"/>
              <w:numPr>
                <w:ilvl w:val="0"/>
                <w:numId w:val="15"/>
              </w:numPr>
              <w:spacing w:after="0" w:line="240" w:lineRule="auto"/>
            </w:pPr>
            <w:r>
              <w:t>Liaise with Oxleas NHS Foundation Trust and LGT Hospitals Trust about whether there are subject experts who may be contacted for support and advice</w:t>
            </w:r>
          </w:p>
          <w:p w14:paraId="0FD83EE9" w14:textId="77777777" w:rsidR="003E3932" w:rsidRDefault="003E3932" w:rsidP="008B172E">
            <w:pPr>
              <w:pStyle w:val="ListParagraph"/>
              <w:spacing w:after="0" w:line="240" w:lineRule="auto"/>
              <w:ind w:left="360"/>
            </w:pPr>
          </w:p>
        </w:tc>
        <w:tc>
          <w:tcPr>
            <w:tcW w:w="2243" w:type="dxa"/>
          </w:tcPr>
          <w:p w14:paraId="75F227DD" w14:textId="77777777" w:rsidR="003E3932" w:rsidRDefault="003E3932" w:rsidP="008B172E">
            <w:pPr>
              <w:pStyle w:val="ListParagraph"/>
              <w:numPr>
                <w:ilvl w:val="0"/>
                <w:numId w:val="16"/>
              </w:numPr>
              <w:spacing w:after="0" w:line="240" w:lineRule="auto"/>
            </w:pPr>
            <w:r>
              <w:t>Designated Nurse for Adult Safeguarding</w:t>
            </w:r>
          </w:p>
          <w:p w14:paraId="65F04477" w14:textId="77777777" w:rsidR="003E3932" w:rsidRDefault="003E3932" w:rsidP="008B172E"/>
        </w:tc>
        <w:tc>
          <w:tcPr>
            <w:tcW w:w="1207" w:type="dxa"/>
          </w:tcPr>
          <w:p w14:paraId="4D7F7ABF" w14:textId="02A41FB3" w:rsidR="003E3932" w:rsidRDefault="00626515" w:rsidP="00626515">
            <w:r>
              <w:t>October 2021</w:t>
            </w:r>
          </w:p>
        </w:tc>
        <w:tc>
          <w:tcPr>
            <w:tcW w:w="1134" w:type="dxa"/>
            <w:shd w:val="clear" w:color="auto" w:fill="FF0000"/>
          </w:tcPr>
          <w:p w14:paraId="0E6729F4" w14:textId="77777777" w:rsidR="003E3932" w:rsidRDefault="003E3932" w:rsidP="00626515"/>
        </w:tc>
        <w:tc>
          <w:tcPr>
            <w:tcW w:w="2693" w:type="dxa"/>
          </w:tcPr>
          <w:p w14:paraId="5C9755F8" w14:textId="77B6D039" w:rsidR="003E3932" w:rsidRDefault="00626515" w:rsidP="00626515">
            <w:r>
              <w:t xml:space="preserve">Uncompleted </w:t>
            </w:r>
          </w:p>
        </w:tc>
      </w:tr>
      <w:tr w:rsidR="005A306B" w14:paraId="5C95DBDB" w14:textId="34C9F378" w:rsidTr="00C01386">
        <w:trPr>
          <w:trHeight w:val="1320"/>
        </w:trPr>
        <w:tc>
          <w:tcPr>
            <w:tcW w:w="589" w:type="dxa"/>
            <w:vMerge w:val="restart"/>
          </w:tcPr>
          <w:p w14:paraId="1E565575" w14:textId="4327AA81" w:rsidR="005A306B" w:rsidRDefault="00626515" w:rsidP="005371B2">
            <w:pPr>
              <w:jc w:val="center"/>
            </w:pPr>
            <w:r>
              <w:lastRenderedPageBreak/>
              <w:t>Nn</w:t>
            </w:r>
          </w:p>
        </w:tc>
        <w:tc>
          <w:tcPr>
            <w:tcW w:w="3947" w:type="dxa"/>
            <w:vMerge w:val="restart"/>
          </w:tcPr>
          <w:p w14:paraId="71193B06" w14:textId="77777777" w:rsidR="005A306B" w:rsidRPr="00D3026F" w:rsidRDefault="005A306B" w:rsidP="00D3026F">
            <w:pPr>
              <w:spacing w:after="160" w:line="259" w:lineRule="auto"/>
              <w:jc w:val="both"/>
              <w:rPr>
                <w:rFonts w:ascii="Gill Sans MT" w:hAnsi="Gill Sans MT" w:cs="Arial"/>
              </w:rPr>
            </w:pPr>
            <w:r w:rsidRPr="00D3026F">
              <w:rPr>
                <w:rFonts w:ascii="Gill Sans MT" w:hAnsi="Gill Sans MT" w:cs="Arial"/>
              </w:rPr>
              <w:t>Make necessary improvements to the coordination of records between health and social care services to ensure that when clients with Spina Bifida do not attend for appointments they are not subsequently lost to all services. They require assertive follow up in the community for management of their condition.</w:t>
            </w:r>
          </w:p>
        </w:tc>
        <w:tc>
          <w:tcPr>
            <w:tcW w:w="3780" w:type="dxa"/>
          </w:tcPr>
          <w:p w14:paraId="6FFA46FE" w14:textId="77777777" w:rsidR="005A306B" w:rsidRDefault="005A306B" w:rsidP="008B172E">
            <w:pPr>
              <w:pStyle w:val="ListParagraph"/>
              <w:numPr>
                <w:ilvl w:val="0"/>
                <w:numId w:val="18"/>
              </w:numPr>
              <w:spacing w:after="0" w:line="240" w:lineRule="auto"/>
            </w:pPr>
            <w:r>
              <w:t>Review current DNA policy across primary care to ensure that where there are complex cases consideration is given to further follow-up in the community</w:t>
            </w:r>
          </w:p>
          <w:p w14:paraId="0598996C" w14:textId="77777777" w:rsidR="005A306B" w:rsidRDefault="005A306B" w:rsidP="005A306B"/>
        </w:tc>
        <w:tc>
          <w:tcPr>
            <w:tcW w:w="2243" w:type="dxa"/>
          </w:tcPr>
          <w:p w14:paraId="4A4284E6" w14:textId="77777777" w:rsidR="005A306B" w:rsidRDefault="005A306B" w:rsidP="005E52E7">
            <w:pPr>
              <w:pStyle w:val="ListParagraph"/>
              <w:numPr>
                <w:ilvl w:val="0"/>
                <w:numId w:val="19"/>
              </w:numPr>
            </w:pPr>
            <w:r w:rsidRPr="008B172E">
              <w:t>Named GP for Adult Safeguarding</w:t>
            </w:r>
          </w:p>
          <w:p w14:paraId="2E78E5EB" w14:textId="4DECB081" w:rsidR="005A306B" w:rsidRDefault="005A306B" w:rsidP="005A306B"/>
        </w:tc>
        <w:tc>
          <w:tcPr>
            <w:tcW w:w="1207" w:type="dxa"/>
          </w:tcPr>
          <w:p w14:paraId="6F193518" w14:textId="77777777" w:rsidR="005A306B" w:rsidRDefault="005A306B" w:rsidP="00626515">
            <w:r>
              <w:t>End June 2021</w:t>
            </w:r>
          </w:p>
          <w:p w14:paraId="3516D9EC" w14:textId="77777777" w:rsidR="005A306B" w:rsidRDefault="005A306B" w:rsidP="005E52E7"/>
          <w:p w14:paraId="00767C94" w14:textId="77777777" w:rsidR="005A306B" w:rsidRDefault="005A306B" w:rsidP="005A306B"/>
        </w:tc>
        <w:tc>
          <w:tcPr>
            <w:tcW w:w="1134" w:type="dxa"/>
            <w:shd w:val="clear" w:color="auto" w:fill="FF0000"/>
          </w:tcPr>
          <w:p w14:paraId="5CD7441C" w14:textId="77777777" w:rsidR="005A306B" w:rsidRDefault="005A306B" w:rsidP="00626515">
            <w:pPr>
              <w:pStyle w:val="ListParagraph"/>
              <w:spacing w:after="0" w:line="240" w:lineRule="auto"/>
              <w:ind w:left="360"/>
            </w:pPr>
          </w:p>
        </w:tc>
        <w:tc>
          <w:tcPr>
            <w:tcW w:w="2693" w:type="dxa"/>
          </w:tcPr>
          <w:p w14:paraId="428E1D68" w14:textId="37140138" w:rsidR="005A306B" w:rsidRDefault="00626515" w:rsidP="00626515">
            <w:r>
              <w:t xml:space="preserve">Uncompleted </w:t>
            </w:r>
          </w:p>
        </w:tc>
      </w:tr>
      <w:tr w:rsidR="005A306B" w14:paraId="4EC5D755" w14:textId="77777777" w:rsidTr="00C01386">
        <w:trPr>
          <w:trHeight w:val="1320"/>
        </w:trPr>
        <w:tc>
          <w:tcPr>
            <w:tcW w:w="589" w:type="dxa"/>
            <w:vMerge/>
          </w:tcPr>
          <w:p w14:paraId="67331682" w14:textId="77777777" w:rsidR="005A306B" w:rsidRDefault="005A306B" w:rsidP="005371B2">
            <w:pPr>
              <w:jc w:val="center"/>
            </w:pPr>
          </w:p>
        </w:tc>
        <w:tc>
          <w:tcPr>
            <w:tcW w:w="3947" w:type="dxa"/>
            <w:vMerge/>
          </w:tcPr>
          <w:p w14:paraId="2DF35BE9" w14:textId="77777777" w:rsidR="005A306B" w:rsidRPr="00D3026F" w:rsidRDefault="005A306B" w:rsidP="00D3026F">
            <w:pPr>
              <w:jc w:val="both"/>
              <w:rPr>
                <w:rFonts w:ascii="Gill Sans MT" w:hAnsi="Gill Sans MT" w:cs="Arial"/>
              </w:rPr>
            </w:pPr>
          </w:p>
        </w:tc>
        <w:tc>
          <w:tcPr>
            <w:tcW w:w="3780" w:type="dxa"/>
          </w:tcPr>
          <w:p w14:paraId="5FC4C23E" w14:textId="77777777" w:rsidR="005A306B" w:rsidRPr="005E52E7" w:rsidRDefault="005A306B" w:rsidP="005A306B">
            <w:pPr>
              <w:pStyle w:val="ListParagraph"/>
              <w:numPr>
                <w:ilvl w:val="0"/>
                <w:numId w:val="18"/>
              </w:numPr>
            </w:pPr>
            <w:r w:rsidRPr="005E52E7">
              <w:t>Provide advice and guidance to GP practices on the learning from this SAR through the CCG newsletter.</w:t>
            </w:r>
          </w:p>
          <w:p w14:paraId="6C19B596" w14:textId="77777777" w:rsidR="005A306B" w:rsidRDefault="005A306B" w:rsidP="005A306B"/>
        </w:tc>
        <w:tc>
          <w:tcPr>
            <w:tcW w:w="2243" w:type="dxa"/>
          </w:tcPr>
          <w:p w14:paraId="31582152" w14:textId="2AB3CED7" w:rsidR="005A306B" w:rsidRPr="008B172E" w:rsidRDefault="005A306B" w:rsidP="002545DB">
            <w:pPr>
              <w:pStyle w:val="ListParagraph"/>
              <w:numPr>
                <w:ilvl w:val="0"/>
                <w:numId w:val="19"/>
              </w:numPr>
              <w:spacing w:after="0" w:line="240" w:lineRule="auto"/>
            </w:pPr>
            <w:r w:rsidRPr="005E52E7">
              <w:t>Designated Nurse for Adult Safeguarding</w:t>
            </w:r>
          </w:p>
        </w:tc>
        <w:tc>
          <w:tcPr>
            <w:tcW w:w="1207" w:type="dxa"/>
          </w:tcPr>
          <w:p w14:paraId="1D031AF0" w14:textId="0CC7FAC5" w:rsidR="005A306B" w:rsidRDefault="002545DB" w:rsidP="002545DB">
            <w:r>
              <w:t>February 2021</w:t>
            </w:r>
          </w:p>
        </w:tc>
        <w:tc>
          <w:tcPr>
            <w:tcW w:w="1134" w:type="dxa"/>
            <w:shd w:val="clear" w:color="auto" w:fill="92D050"/>
          </w:tcPr>
          <w:p w14:paraId="1B2D1BFE" w14:textId="77777777" w:rsidR="005A306B" w:rsidRDefault="005A306B" w:rsidP="002545DB"/>
        </w:tc>
        <w:tc>
          <w:tcPr>
            <w:tcW w:w="2693" w:type="dxa"/>
          </w:tcPr>
          <w:p w14:paraId="2C979898" w14:textId="4A261740" w:rsidR="005A306B" w:rsidRPr="002910EA" w:rsidRDefault="002910EA" w:rsidP="002545DB">
            <w:pPr>
              <w:rPr>
                <w:i/>
              </w:rPr>
            </w:pPr>
            <w:r w:rsidRPr="002910EA">
              <w:rPr>
                <w:i/>
              </w:rPr>
              <w:t>Adult safeguarding newsletter sent out to all GP practices Also discussed with GP adult safeguarding leads on 21st October 2021</w:t>
            </w:r>
          </w:p>
        </w:tc>
      </w:tr>
      <w:tr w:rsidR="00A10AE5" w14:paraId="7000EABD" w14:textId="610AFE50" w:rsidTr="00C01386">
        <w:trPr>
          <w:trHeight w:val="1748"/>
        </w:trPr>
        <w:tc>
          <w:tcPr>
            <w:tcW w:w="589" w:type="dxa"/>
            <w:vMerge w:val="restart"/>
          </w:tcPr>
          <w:p w14:paraId="7C205332" w14:textId="77777777" w:rsidR="00A10AE5" w:rsidRDefault="00A10AE5" w:rsidP="005371B2">
            <w:pPr>
              <w:jc w:val="center"/>
            </w:pPr>
            <w:r>
              <w:t>6</w:t>
            </w:r>
          </w:p>
        </w:tc>
        <w:tc>
          <w:tcPr>
            <w:tcW w:w="3947" w:type="dxa"/>
            <w:vMerge w:val="restart"/>
          </w:tcPr>
          <w:p w14:paraId="7F24AD61" w14:textId="66E92312" w:rsidR="00A10AE5" w:rsidRPr="00D3026F" w:rsidRDefault="00A10AE5" w:rsidP="00D3026F">
            <w:pPr>
              <w:spacing w:after="160" w:line="259" w:lineRule="auto"/>
              <w:jc w:val="both"/>
              <w:rPr>
                <w:rFonts w:ascii="Gill Sans MT" w:hAnsi="Gill Sans MT" w:cs="Arial"/>
              </w:rPr>
            </w:pPr>
            <w:r w:rsidRPr="00D3026F">
              <w:rPr>
                <w:rFonts w:ascii="Gill Sans MT" w:hAnsi="Gill Sans MT" w:cs="Arial"/>
              </w:rPr>
              <w:t>A key link worker for all patients with Spina Bifida living in the community to make regular contact with the client and their family to regularly assess/review the risks of self-neglect and support for family carers to be provided in line with the requirements of the Care Act 2014.</w:t>
            </w:r>
          </w:p>
        </w:tc>
        <w:tc>
          <w:tcPr>
            <w:tcW w:w="3780" w:type="dxa"/>
          </w:tcPr>
          <w:p w14:paraId="3D1C6B22" w14:textId="77777777" w:rsidR="00A10AE5" w:rsidRDefault="00A10AE5" w:rsidP="005E52E7">
            <w:pPr>
              <w:pStyle w:val="ListParagraph"/>
              <w:numPr>
                <w:ilvl w:val="0"/>
                <w:numId w:val="24"/>
              </w:numPr>
              <w:spacing w:after="0" w:line="240" w:lineRule="auto"/>
            </w:pPr>
            <w:r>
              <w:t xml:space="preserve">Health and Adult Social care to ensure anyone with conditions such as spina bifida are offered contact details of support groups such as the Spina Bifida association during the assessment process for both the individual and the carers.   </w:t>
            </w:r>
          </w:p>
          <w:p w14:paraId="65051FC8" w14:textId="56DDF23E" w:rsidR="00A10AE5" w:rsidRDefault="00A10AE5" w:rsidP="000D7719"/>
        </w:tc>
        <w:tc>
          <w:tcPr>
            <w:tcW w:w="2243" w:type="dxa"/>
          </w:tcPr>
          <w:p w14:paraId="6F543AE8" w14:textId="7B718428" w:rsidR="00A10AE5" w:rsidRDefault="00A10AE5" w:rsidP="00BD0E4C">
            <w:r>
              <w:t>Health and Adult survives/ SE London CCG</w:t>
            </w:r>
          </w:p>
        </w:tc>
        <w:tc>
          <w:tcPr>
            <w:tcW w:w="1207" w:type="dxa"/>
          </w:tcPr>
          <w:p w14:paraId="0D64D30A" w14:textId="7BCDE4A2" w:rsidR="00A10AE5" w:rsidRDefault="00BD0E4C" w:rsidP="005371B2">
            <w:pPr>
              <w:jc w:val="center"/>
            </w:pPr>
            <w:r>
              <w:t xml:space="preserve">Complete </w:t>
            </w:r>
            <w:r w:rsidR="002545DB">
              <w:t xml:space="preserve"> </w:t>
            </w:r>
          </w:p>
        </w:tc>
        <w:tc>
          <w:tcPr>
            <w:tcW w:w="1134" w:type="dxa"/>
            <w:shd w:val="clear" w:color="auto" w:fill="92D050"/>
          </w:tcPr>
          <w:p w14:paraId="090AC490" w14:textId="77777777" w:rsidR="00A10AE5" w:rsidRDefault="00A10AE5" w:rsidP="005371B2">
            <w:pPr>
              <w:jc w:val="center"/>
            </w:pPr>
          </w:p>
        </w:tc>
        <w:tc>
          <w:tcPr>
            <w:tcW w:w="2693" w:type="dxa"/>
          </w:tcPr>
          <w:p w14:paraId="7DCB339A" w14:textId="1302C53A" w:rsidR="00A10AE5" w:rsidRPr="00BD0E4C" w:rsidRDefault="00EC1393" w:rsidP="00BD0E4C">
            <w:pPr>
              <w:jc w:val="both"/>
              <w:rPr>
                <w:i/>
                <w:iCs/>
              </w:rPr>
            </w:pPr>
            <w:r w:rsidRPr="00BD0E4C">
              <w:rPr>
                <w:i/>
                <w:iCs/>
              </w:rPr>
              <w:t xml:space="preserve">When a local support group is identified as beneficial as part of the assessment then the information is sent over to the client and carer with the assessment. </w:t>
            </w:r>
          </w:p>
        </w:tc>
      </w:tr>
      <w:tr w:rsidR="00A10AE5" w14:paraId="1AE118DD" w14:textId="77777777" w:rsidTr="00C01386">
        <w:trPr>
          <w:trHeight w:val="1747"/>
        </w:trPr>
        <w:tc>
          <w:tcPr>
            <w:tcW w:w="589" w:type="dxa"/>
            <w:vMerge/>
          </w:tcPr>
          <w:p w14:paraId="2469B0B6" w14:textId="77777777" w:rsidR="00A10AE5" w:rsidRDefault="00A10AE5" w:rsidP="005371B2">
            <w:pPr>
              <w:jc w:val="center"/>
            </w:pPr>
          </w:p>
        </w:tc>
        <w:tc>
          <w:tcPr>
            <w:tcW w:w="3947" w:type="dxa"/>
            <w:vMerge/>
          </w:tcPr>
          <w:p w14:paraId="05ACE9F9" w14:textId="77777777" w:rsidR="00A10AE5" w:rsidRPr="00D3026F" w:rsidRDefault="00A10AE5" w:rsidP="00D3026F">
            <w:pPr>
              <w:jc w:val="both"/>
              <w:rPr>
                <w:rFonts w:ascii="Gill Sans MT" w:hAnsi="Gill Sans MT" w:cs="Arial"/>
              </w:rPr>
            </w:pPr>
          </w:p>
        </w:tc>
        <w:tc>
          <w:tcPr>
            <w:tcW w:w="3780" w:type="dxa"/>
          </w:tcPr>
          <w:p w14:paraId="55989D3E" w14:textId="1BA316FB" w:rsidR="00A10AE5" w:rsidRDefault="000D7719" w:rsidP="005E52E7">
            <w:pPr>
              <w:pStyle w:val="ListParagraph"/>
              <w:numPr>
                <w:ilvl w:val="0"/>
                <w:numId w:val="24"/>
              </w:numPr>
              <w:spacing w:after="0" w:line="240" w:lineRule="auto"/>
            </w:pPr>
            <w:r>
              <w:t>Specific awareness raising sessions to be undertaken with GPs to inform them around the specialist type of care or someone with a long-term condition such as spina bifida and what support is available.</w:t>
            </w:r>
          </w:p>
        </w:tc>
        <w:tc>
          <w:tcPr>
            <w:tcW w:w="2243" w:type="dxa"/>
          </w:tcPr>
          <w:p w14:paraId="4CE7EC4A" w14:textId="77777777" w:rsidR="000D7719" w:rsidRDefault="000D7719" w:rsidP="000D7719">
            <w:pPr>
              <w:jc w:val="center"/>
            </w:pPr>
          </w:p>
          <w:p w14:paraId="5AD53EAB" w14:textId="7860B32A" w:rsidR="00A10AE5" w:rsidRDefault="000D7719" w:rsidP="00BD0E4C">
            <w:r>
              <w:t>Named GP for Adult Safeguarding</w:t>
            </w:r>
          </w:p>
        </w:tc>
        <w:tc>
          <w:tcPr>
            <w:tcW w:w="1207" w:type="dxa"/>
          </w:tcPr>
          <w:p w14:paraId="41D21C95" w14:textId="34F79675" w:rsidR="00A10AE5" w:rsidRDefault="002545DB" w:rsidP="005371B2">
            <w:pPr>
              <w:jc w:val="center"/>
            </w:pPr>
            <w:r>
              <w:t>October 2021</w:t>
            </w:r>
          </w:p>
        </w:tc>
        <w:tc>
          <w:tcPr>
            <w:tcW w:w="1134" w:type="dxa"/>
            <w:shd w:val="clear" w:color="auto" w:fill="92D050"/>
          </w:tcPr>
          <w:p w14:paraId="349F60A3" w14:textId="77777777" w:rsidR="00A10AE5" w:rsidRDefault="00A10AE5" w:rsidP="005371B2">
            <w:pPr>
              <w:jc w:val="center"/>
            </w:pPr>
          </w:p>
        </w:tc>
        <w:tc>
          <w:tcPr>
            <w:tcW w:w="2693" w:type="dxa"/>
          </w:tcPr>
          <w:p w14:paraId="614B2541" w14:textId="7FDCBEE0" w:rsidR="00A10AE5" w:rsidRPr="00BD0E4C" w:rsidRDefault="002545DB" w:rsidP="00BD0E4C">
            <w:pPr>
              <w:jc w:val="both"/>
              <w:rPr>
                <w:i/>
                <w:iCs/>
              </w:rPr>
            </w:pPr>
            <w:r w:rsidRPr="00BD0E4C">
              <w:rPr>
                <w:i/>
                <w:iCs/>
              </w:rPr>
              <w:t>Named GP discussed at GP forum on 21</w:t>
            </w:r>
            <w:r w:rsidRPr="00BD0E4C">
              <w:rPr>
                <w:i/>
                <w:iCs/>
                <w:vertAlign w:val="superscript"/>
              </w:rPr>
              <w:t>st</w:t>
            </w:r>
            <w:r w:rsidRPr="00BD0E4C">
              <w:rPr>
                <w:i/>
                <w:iCs/>
              </w:rPr>
              <w:t xml:space="preserve"> October 2021</w:t>
            </w:r>
          </w:p>
        </w:tc>
      </w:tr>
      <w:tr w:rsidR="003E3932" w14:paraId="6A41F059" w14:textId="77879467" w:rsidTr="00C01386">
        <w:tc>
          <w:tcPr>
            <w:tcW w:w="589" w:type="dxa"/>
          </w:tcPr>
          <w:p w14:paraId="6E3A5922" w14:textId="77777777" w:rsidR="003E3932" w:rsidRDefault="003E3932" w:rsidP="005371B2">
            <w:pPr>
              <w:jc w:val="center"/>
            </w:pPr>
            <w:r>
              <w:t>7</w:t>
            </w:r>
          </w:p>
        </w:tc>
        <w:tc>
          <w:tcPr>
            <w:tcW w:w="3947" w:type="dxa"/>
          </w:tcPr>
          <w:p w14:paraId="4F7A4C96" w14:textId="0620E835" w:rsidR="003E3932" w:rsidRPr="00D3026F" w:rsidRDefault="003E3932" w:rsidP="00D3026F">
            <w:pPr>
              <w:spacing w:after="160" w:line="259" w:lineRule="auto"/>
              <w:jc w:val="both"/>
              <w:rPr>
                <w:rFonts w:ascii="Gill Sans MT" w:hAnsi="Gill Sans MT" w:cs="Arial"/>
              </w:rPr>
            </w:pPr>
            <w:r w:rsidRPr="00D3026F">
              <w:rPr>
                <w:rFonts w:ascii="Gill Sans MT" w:hAnsi="Gill Sans MT" w:cs="Arial"/>
              </w:rPr>
              <w:t xml:space="preserve">Where adults with Spina Bifida chose to live </w:t>
            </w:r>
            <w:r w:rsidR="00C01386" w:rsidRPr="00D3026F">
              <w:rPr>
                <w:rFonts w:ascii="Gill Sans MT" w:hAnsi="Gill Sans MT" w:cs="Arial"/>
              </w:rPr>
              <w:t>alone,</w:t>
            </w:r>
            <w:r w:rsidRPr="00D3026F">
              <w:rPr>
                <w:rFonts w:ascii="Gill Sans MT" w:hAnsi="Gill Sans MT" w:cs="Arial"/>
              </w:rPr>
              <w:t xml:space="preserve"> they should be linked into appropriate community services and assisted to attend any outpatient’s appointments. If patients do not attend appointments a home visit should be arranged prior to decisions being made to discharge the person from the service (e.g. </w:t>
            </w:r>
            <w:r w:rsidRPr="00D3026F">
              <w:rPr>
                <w:rFonts w:ascii="Gill Sans MT" w:hAnsi="Gill Sans MT" w:cs="Arial"/>
              </w:rPr>
              <w:lastRenderedPageBreak/>
              <w:t>Podiatry, Physiotherapy, Occupational Therapy etc).</w:t>
            </w:r>
          </w:p>
          <w:p w14:paraId="21D8EB3D" w14:textId="77777777" w:rsidR="003E3932" w:rsidRPr="00D3026F" w:rsidRDefault="003E3932" w:rsidP="00D3026F">
            <w:pPr>
              <w:jc w:val="center"/>
              <w:rPr>
                <w:rFonts w:ascii="Gill Sans MT" w:hAnsi="Gill Sans MT"/>
              </w:rPr>
            </w:pPr>
          </w:p>
        </w:tc>
        <w:tc>
          <w:tcPr>
            <w:tcW w:w="3780" w:type="dxa"/>
          </w:tcPr>
          <w:p w14:paraId="19C54759" w14:textId="77777777" w:rsidR="003E3932" w:rsidRDefault="003E3932" w:rsidP="005E52E7">
            <w:pPr>
              <w:pStyle w:val="ListParagraph"/>
              <w:numPr>
                <w:ilvl w:val="0"/>
                <w:numId w:val="21"/>
              </w:numPr>
              <w:spacing w:after="0" w:line="240" w:lineRule="auto"/>
            </w:pPr>
            <w:r>
              <w:lastRenderedPageBreak/>
              <w:t>Review current DNA policy across primary care to ensure that where there are complex cases consideration is given to further follow-up in the community</w:t>
            </w:r>
          </w:p>
          <w:p w14:paraId="404EE00C" w14:textId="77777777" w:rsidR="003E3932" w:rsidRDefault="003E3932" w:rsidP="0081773E"/>
        </w:tc>
        <w:tc>
          <w:tcPr>
            <w:tcW w:w="2243" w:type="dxa"/>
          </w:tcPr>
          <w:p w14:paraId="2CF60779" w14:textId="77777777" w:rsidR="003E3932" w:rsidRDefault="003E3932" w:rsidP="005E52E7">
            <w:pPr>
              <w:pStyle w:val="ListParagraph"/>
              <w:numPr>
                <w:ilvl w:val="0"/>
                <w:numId w:val="22"/>
              </w:numPr>
            </w:pPr>
            <w:r w:rsidRPr="008B172E">
              <w:t>Named GP for Adult Safeguarding</w:t>
            </w:r>
          </w:p>
          <w:p w14:paraId="758981FF" w14:textId="77777777" w:rsidR="003E3932" w:rsidRDefault="003E3932" w:rsidP="005E52E7"/>
        </w:tc>
        <w:tc>
          <w:tcPr>
            <w:tcW w:w="1207" w:type="dxa"/>
          </w:tcPr>
          <w:p w14:paraId="374D1A0F" w14:textId="018539C3" w:rsidR="003E3932" w:rsidRDefault="002545DB" w:rsidP="002545DB">
            <w:r>
              <w:t>September 2021</w:t>
            </w:r>
          </w:p>
          <w:p w14:paraId="23ED8632" w14:textId="77777777" w:rsidR="003E3932" w:rsidRDefault="003E3932" w:rsidP="005371B2">
            <w:pPr>
              <w:jc w:val="center"/>
            </w:pPr>
          </w:p>
        </w:tc>
        <w:tc>
          <w:tcPr>
            <w:tcW w:w="1134" w:type="dxa"/>
            <w:shd w:val="clear" w:color="auto" w:fill="FF0000"/>
          </w:tcPr>
          <w:p w14:paraId="56B25626" w14:textId="77777777" w:rsidR="003E3932" w:rsidRDefault="003E3932" w:rsidP="002545DB"/>
        </w:tc>
        <w:tc>
          <w:tcPr>
            <w:tcW w:w="2693" w:type="dxa"/>
          </w:tcPr>
          <w:p w14:paraId="27551E31" w14:textId="1D67FCEA" w:rsidR="003E3932" w:rsidRDefault="002545DB" w:rsidP="002545DB">
            <w:r>
              <w:t xml:space="preserve">Uncompleted </w:t>
            </w:r>
          </w:p>
        </w:tc>
      </w:tr>
      <w:tr w:rsidR="003E3932" w14:paraId="449505C5" w14:textId="07741180" w:rsidTr="00C01386">
        <w:tc>
          <w:tcPr>
            <w:tcW w:w="589" w:type="dxa"/>
          </w:tcPr>
          <w:p w14:paraId="7EAE6B68" w14:textId="77777777" w:rsidR="003E3932" w:rsidRDefault="003E3932" w:rsidP="005371B2">
            <w:pPr>
              <w:jc w:val="center"/>
            </w:pPr>
            <w:r>
              <w:t>9</w:t>
            </w:r>
          </w:p>
        </w:tc>
        <w:tc>
          <w:tcPr>
            <w:tcW w:w="3947" w:type="dxa"/>
          </w:tcPr>
          <w:p w14:paraId="045B7643" w14:textId="77777777" w:rsidR="003E3932" w:rsidRPr="00D3026F" w:rsidRDefault="003E3932" w:rsidP="00D3026F">
            <w:pPr>
              <w:spacing w:after="160" w:line="259" w:lineRule="auto"/>
              <w:jc w:val="both"/>
              <w:rPr>
                <w:rFonts w:ascii="Gill Sans MT" w:hAnsi="Gill Sans MT" w:cs="Arial"/>
              </w:rPr>
            </w:pPr>
            <w:r w:rsidRPr="00D3026F">
              <w:rPr>
                <w:rFonts w:ascii="Gill Sans MT" w:hAnsi="Gill Sans MT" w:cs="Arial"/>
              </w:rPr>
              <w:t>Shared information sharing at a systems level between Housing and Social Care Departments, so that when a housing application is accepted, and an offer will be made, on grounds of physical disability, a referral is made for re-assessments under Section 9, 11 of the Care Act 2014.</w:t>
            </w:r>
          </w:p>
        </w:tc>
        <w:tc>
          <w:tcPr>
            <w:tcW w:w="3780" w:type="dxa"/>
          </w:tcPr>
          <w:p w14:paraId="43D49705" w14:textId="77777777" w:rsidR="003E3932" w:rsidRDefault="003E3932" w:rsidP="0081773E">
            <w:r>
              <w:t xml:space="preserve">Housing to incorporate Adults services representation into the monthly Housing panel meetings to consider cases where adults have physical health needs and are applying for housing. </w:t>
            </w:r>
          </w:p>
          <w:p w14:paraId="4DB27AE0" w14:textId="77777777" w:rsidR="003E3932" w:rsidRDefault="003E3932" w:rsidP="0081773E"/>
          <w:p w14:paraId="5320B7F8" w14:textId="77777777" w:rsidR="003E3932" w:rsidRDefault="003E3932" w:rsidP="0081773E"/>
          <w:p w14:paraId="293E81B5" w14:textId="77777777" w:rsidR="003E3932" w:rsidRDefault="003E3932" w:rsidP="0081773E"/>
        </w:tc>
        <w:tc>
          <w:tcPr>
            <w:tcW w:w="2243" w:type="dxa"/>
          </w:tcPr>
          <w:p w14:paraId="5E02C3B6" w14:textId="77777777" w:rsidR="003E3932" w:rsidRDefault="003E3932" w:rsidP="005371B2">
            <w:pPr>
              <w:jc w:val="center"/>
            </w:pPr>
            <w:r>
              <w:t xml:space="preserve">Housing/ Health and Adult services </w:t>
            </w:r>
          </w:p>
        </w:tc>
        <w:tc>
          <w:tcPr>
            <w:tcW w:w="1207" w:type="dxa"/>
          </w:tcPr>
          <w:p w14:paraId="2B1AF77B" w14:textId="77777777" w:rsidR="003E3932" w:rsidRDefault="003E3932" w:rsidP="005371B2">
            <w:pPr>
              <w:jc w:val="center"/>
            </w:pPr>
            <w:r>
              <w:t>December 2020</w:t>
            </w:r>
          </w:p>
        </w:tc>
        <w:tc>
          <w:tcPr>
            <w:tcW w:w="1134" w:type="dxa"/>
            <w:shd w:val="clear" w:color="auto" w:fill="92D050"/>
          </w:tcPr>
          <w:p w14:paraId="15BFDF5C" w14:textId="4BD4F3CA" w:rsidR="003E3932" w:rsidRDefault="00BD0E4C" w:rsidP="005371B2">
            <w:pPr>
              <w:jc w:val="center"/>
            </w:pPr>
            <w:r>
              <w:t>Green</w:t>
            </w:r>
          </w:p>
        </w:tc>
        <w:tc>
          <w:tcPr>
            <w:tcW w:w="2693" w:type="dxa"/>
          </w:tcPr>
          <w:p w14:paraId="0AD00ADC" w14:textId="561D8018" w:rsidR="003E3932" w:rsidRPr="00BD0E4C" w:rsidRDefault="00BD0E4C" w:rsidP="00BD0E4C">
            <w:pPr>
              <w:rPr>
                <w:i/>
                <w:iCs/>
              </w:rPr>
            </w:pPr>
            <w:r w:rsidRPr="00BD0E4C">
              <w:rPr>
                <w:i/>
                <w:iCs/>
              </w:rPr>
              <w:t xml:space="preserve">Adult </w:t>
            </w:r>
            <w:r w:rsidR="00C01386" w:rsidRPr="00BD0E4C">
              <w:rPr>
                <w:i/>
                <w:iCs/>
              </w:rPr>
              <w:t>Services is</w:t>
            </w:r>
            <w:r w:rsidRPr="00BD0E4C">
              <w:rPr>
                <w:i/>
                <w:iCs/>
              </w:rPr>
              <w:t xml:space="preserve"> engaged with the housing panel meetings and attend when necessary. </w:t>
            </w:r>
          </w:p>
        </w:tc>
      </w:tr>
      <w:tr w:rsidR="003E3932" w14:paraId="7B161516" w14:textId="6A3D459A" w:rsidTr="00C01386">
        <w:tc>
          <w:tcPr>
            <w:tcW w:w="589" w:type="dxa"/>
          </w:tcPr>
          <w:p w14:paraId="240B3979" w14:textId="77777777" w:rsidR="003E3932" w:rsidRDefault="003E3932" w:rsidP="005371B2">
            <w:pPr>
              <w:jc w:val="center"/>
            </w:pPr>
            <w:r>
              <w:t>10</w:t>
            </w:r>
          </w:p>
        </w:tc>
        <w:tc>
          <w:tcPr>
            <w:tcW w:w="3947" w:type="dxa"/>
          </w:tcPr>
          <w:p w14:paraId="5DA8A7CE" w14:textId="3F7CB97A" w:rsidR="003E3932" w:rsidRPr="00D3026F" w:rsidRDefault="003E3932" w:rsidP="00D3026F">
            <w:pPr>
              <w:spacing w:after="160" w:line="259" w:lineRule="auto"/>
              <w:jc w:val="both"/>
              <w:rPr>
                <w:rFonts w:ascii="Gill Sans MT" w:hAnsi="Gill Sans MT" w:cs="Arial"/>
              </w:rPr>
            </w:pPr>
            <w:r w:rsidRPr="00D3026F">
              <w:rPr>
                <w:rFonts w:ascii="Gill Sans MT" w:hAnsi="Gill Sans MT" w:cs="Arial"/>
              </w:rPr>
              <w:t>Improve direct links between relevant tenancy support officers and local social care services at a level, where tenants whose needs for adapted accommodation due to physical disabilities are part of a re-housing decision. An initial joint visit could then be made by tenancy and social work services as part of a housing offer being processed. A plan could be coordinated to ensure that new tenants with disabilities are followed up for an agreed timeframe to enable them to prepare for a move and to adjust to independent living, with the right care in place (this could follow the discharge to assess model in place when patients are first discharged home from hospital).</w:t>
            </w:r>
          </w:p>
          <w:p w14:paraId="2A3A634D" w14:textId="77777777" w:rsidR="003E3932" w:rsidRPr="00D3026F" w:rsidRDefault="003E3932" w:rsidP="00D3026F">
            <w:pPr>
              <w:spacing w:after="160" w:line="259" w:lineRule="auto"/>
              <w:jc w:val="both"/>
              <w:rPr>
                <w:rFonts w:ascii="Gill Sans MT" w:hAnsi="Gill Sans MT" w:cs="Arial"/>
              </w:rPr>
            </w:pPr>
          </w:p>
        </w:tc>
        <w:tc>
          <w:tcPr>
            <w:tcW w:w="3780" w:type="dxa"/>
          </w:tcPr>
          <w:p w14:paraId="1D00562B" w14:textId="4BFCB670" w:rsidR="003E3932" w:rsidRDefault="003E3932" w:rsidP="0081773E">
            <w:r>
              <w:t xml:space="preserve">Housing to ensure that any adults housing applicants with physical health needs </w:t>
            </w:r>
            <w:r w:rsidR="00753409">
              <w:t xml:space="preserve">are </w:t>
            </w:r>
            <w:r>
              <w:t xml:space="preserve">referred for assessment of care needs under The Care Act.  </w:t>
            </w:r>
          </w:p>
        </w:tc>
        <w:tc>
          <w:tcPr>
            <w:tcW w:w="2243" w:type="dxa"/>
          </w:tcPr>
          <w:p w14:paraId="30F67741" w14:textId="77777777" w:rsidR="003E3932" w:rsidRDefault="003E3932" w:rsidP="005371B2">
            <w:pPr>
              <w:jc w:val="center"/>
            </w:pPr>
            <w:r>
              <w:t>Housing/ Health and Adult services</w:t>
            </w:r>
          </w:p>
        </w:tc>
        <w:tc>
          <w:tcPr>
            <w:tcW w:w="1207" w:type="dxa"/>
          </w:tcPr>
          <w:p w14:paraId="7A49C4F6" w14:textId="77777777" w:rsidR="003E3932" w:rsidRDefault="003E3932" w:rsidP="005371B2">
            <w:pPr>
              <w:jc w:val="center"/>
            </w:pPr>
            <w:r>
              <w:t>December 202</w:t>
            </w:r>
          </w:p>
        </w:tc>
        <w:tc>
          <w:tcPr>
            <w:tcW w:w="1134" w:type="dxa"/>
            <w:shd w:val="clear" w:color="auto" w:fill="92D050"/>
          </w:tcPr>
          <w:p w14:paraId="7FD85CB4" w14:textId="77777777" w:rsidR="003E3932" w:rsidRDefault="003E3932" w:rsidP="005371B2">
            <w:pPr>
              <w:jc w:val="center"/>
            </w:pPr>
          </w:p>
        </w:tc>
        <w:tc>
          <w:tcPr>
            <w:tcW w:w="2693" w:type="dxa"/>
          </w:tcPr>
          <w:p w14:paraId="44FCE076" w14:textId="49272FBF" w:rsidR="00753409" w:rsidRPr="00753409" w:rsidRDefault="00753409" w:rsidP="00753409">
            <w:pPr>
              <w:jc w:val="both"/>
              <w:rPr>
                <w:i/>
                <w:iCs/>
              </w:rPr>
            </w:pPr>
            <w:r w:rsidRPr="00753409">
              <w:rPr>
                <w:i/>
                <w:iCs/>
              </w:rPr>
              <w:t xml:space="preserve">When someone needs to move to an adapted property or requires adaptions to their existing properties </w:t>
            </w:r>
            <w:r w:rsidR="00C01386">
              <w:rPr>
                <w:i/>
                <w:iCs/>
              </w:rPr>
              <w:t>housing</w:t>
            </w:r>
            <w:r w:rsidR="00C01386" w:rsidRPr="00753409">
              <w:rPr>
                <w:i/>
                <w:iCs/>
              </w:rPr>
              <w:t xml:space="preserve"> make</w:t>
            </w:r>
            <w:r w:rsidRPr="00753409">
              <w:rPr>
                <w:i/>
                <w:iCs/>
              </w:rPr>
              <w:t xml:space="preserve"> a referral for an OT assessment and / or the DHIT team</w:t>
            </w:r>
            <w:r>
              <w:rPr>
                <w:i/>
                <w:iCs/>
              </w:rPr>
              <w:t xml:space="preserve">, who then liaise with Adults social care if </w:t>
            </w:r>
            <w:r w:rsidR="00C01386">
              <w:rPr>
                <w:i/>
                <w:iCs/>
              </w:rPr>
              <w:t>necessary,</w:t>
            </w:r>
            <w:r>
              <w:rPr>
                <w:i/>
                <w:iCs/>
              </w:rPr>
              <w:t xml:space="preserve"> for a further assessment of care needs. </w:t>
            </w:r>
          </w:p>
          <w:p w14:paraId="4BA4212D" w14:textId="77777777" w:rsidR="003E3932" w:rsidRDefault="003E3932" w:rsidP="005371B2">
            <w:pPr>
              <w:jc w:val="center"/>
            </w:pPr>
          </w:p>
        </w:tc>
      </w:tr>
      <w:tr w:rsidR="003E3932" w14:paraId="5704FA7B" w14:textId="72999B54" w:rsidTr="00C01386">
        <w:tc>
          <w:tcPr>
            <w:tcW w:w="589" w:type="dxa"/>
          </w:tcPr>
          <w:p w14:paraId="1933F9C9" w14:textId="77777777" w:rsidR="003E3932" w:rsidRDefault="003E3932" w:rsidP="005371B2">
            <w:pPr>
              <w:jc w:val="center"/>
            </w:pPr>
            <w:r>
              <w:t>11</w:t>
            </w:r>
          </w:p>
        </w:tc>
        <w:tc>
          <w:tcPr>
            <w:tcW w:w="3947" w:type="dxa"/>
          </w:tcPr>
          <w:p w14:paraId="7A02532E" w14:textId="77777777" w:rsidR="003E3932" w:rsidRPr="00D3026F" w:rsidRDefault="003E3932" w:rsidP="00D3026F">
            <w:pPr>
              <w:spacing w:after="160" w:line="259" w:lineRule="auto"/>
              <w:jc w:val="both"/>
              <w:rPr>
                <w:rFonts w:ascii="Gill Sans MT" w:hAnsi="Gill Sans MT" w:cs="Arial"/>
              </w:rPr>
            </w:pPr>
            <w:r w:rsidRPr="00D3026F">
              <w:rPr>
                <w:rFonts w:ascii="Gill Sans MT" w:hAnsi="Gill Sans MT" w:cs="Arial"/>
              </w:rPr>
              <w:t xml:space="preserve">Coordination of any specialist community health and relevant social care services should also be made as part of this initial </w:t>
            </w:r>
            <w:r w:rsidRPr="00D3026F">
              <w:rPr>
                <w:rFonts w:ascii="Gill Sans MT" w:hAnsi="Gill Sans MT" w:cs="Arial"/>
              </w:rPr>
              <w:lastRenderedPageBreak/>
              <w:t>transition period following rehousing (led by Adult Social Care Services, with GP input), to agree on a joint plan for ongoing information sharing and decision making to manage health and care needs during this time. A shared health and social care plan could then be developed, with a lead worker identified to monitor and review this.</w:t>
            </w:r>
          </w:p>
        </w:tc>
        <w:tc>
          <w:tcPr>
            <w:tcW w:w="3780" w:type="dxa"/>
          </w:tcPr>
          <w:p w14:paraId="065CD6E5" w14:textId="7C62A8B5" w:rsidR="003E3932" w:rsidRDefault="00E03149" w:rsidP="0075085C">
            <w:r>
              <w:lastRenderedPageBreak/>
              <w:t xml:space="preserve">Social care worker </w:t>
            </w:r>
            <w:r w:rsidR="003E3932">
              <w:t>to liaise with specialist community health professional at point of review</w:t>
            </w:r>
            <w:r w:rsidR="00753409">
              <w:t xml:space="preserve"> and assessment. </w:t>
            </w:r>
          </w:p>
          <w:p w14:paraId="2A0DDC47" w14:textId="77777777" w:rsidR="003E3932" w:rsidRDefault="003E3932" w:rsidP="0075085C"/>
          <w:p w14:paraId="64477874" w14:textId="1DF0987C" w:rsidR="003E3932" w:rsidRDefault="003E3932" w:rsidP="0075085C"/>
        </w:tc>
        <w:tc>
          <w:tcPr>
            <w:tcW w:w="2243" w:type="dxa"/>
          </w:tcPr>
          <w:p w14:paraId="24E4D7BA" w14:textId="77777777" w:rsidR="003E3932" w:rsidRDefault="003E3932" w:rsidP="005371B2">
            <w:pPr>
              <w:jc w:val="center"/>
            </w:pPr>
            <w:r>
              <w:lastRenderedPageBreak/>
              <w:t xml:space="preserve">Principal Social Worker/ Head of Safeguarding Adults </w:t>
            </w:r>
          </w:p>
        </w:tc>
        <w:tc>
          <w:tcPr>
            <w:tcW w:w="1207" w:type="dxa"/>
          </w:tcPr>
          <w:p w14:paraId="7A34CF63" w14:textId="77777777" w:rsidR="003E3932" w:rsidRDefault="003E3932" w:rsidP="005371B2">
            <w:pPr>
              <w:jc w:val="center"/>
            </w:pPr>
            <w:r>
              <w:t>April 2020</w:t>
            </w:r>
          </w:p>
        </w:tc>
        <w:tc>
          <w:tcPr>
            <w:tcW w:w="1134" w:type="dxa"/>
            <w:shd w:val="clear" w:color="auto" w:fill="92D050"/>
          </w:tcPr>
          <w:p w14:paraId="2900C33E" w14:textId="7E4C4442" w:rsidR="003E3932" w:rsidRDefault="00E03149" w:rsidP="005371B2">
            <w:pPr>
              <w:jc w:val="center"/>
            </w:pPr>
            <w:r>
              <w:t>Green</w:t>
            </w:r>
          </w:p>
        </w:tc>
        <w:tc>
          <w:tcPr>
            <w:tcW w:w="2693" w:type="dxa"/>
          </w:tcPr>
          <w:p w14:paraId="09E8D982" w14:textId="6DEC511C" w:rsidR="003E3932" w:rsidRDefault="00E03149" w:rsidP="002910EA">
            <w:pPr>
              <w:jc w:val="both"/>
            </w:pPr>
            <w:r>
              <w:t xml:space="preserve">A multi-disciplinary approach is seen as best practice in Greenwich where professionals work </w:t>
            </w:r>
            <w:r>
              <w:lastRenderedPageBreak/>
              <w:t xml:space="preserve">together to support people with their desired outcomes. This would be reflected in the support plan which would be holistic in its approach. </w:t>
            </w:r>
          </w:p>
        </w:tc>
      </w:tr>
      <w:tr w:rsidR="003E3932" w14:paraId="709110AD" w14:textId="44ED0A99" w:rsidTr="00E006CF">
        <w:tc>
          <w:tcPr>
            <w:tcW w:w="589" w:type="dxa"/>
          </w:tcPr>
          <w:p w14:paraId="750A21B6" w14:textId="77777777" w:rsidR="003E3932" w:rsidRDefault="003E3932" w:rsidP="005371B2">
            <w:pPr>
              <w:jc w:val="center"/>
            </w:pPr>
            <w:r>
              <w:lastRenderedPageBreak/>
              <w:t>12</w:t>
            </w:r>
          </w:p>
        </w:tc>
        <w:tc>
          <w:tcPr>
            <w:tcW w:w="3947" w:type="dxa"/>
          </w:tcPr>
          <w:p w14:paraId="20BC4BF0" w14:textId="77777777" w:rsidR="003E3932" w:rsidRDefault="003E3932" w:rsidP="00D3026F">
            <w:pPr>
              <w:jc w:val="both"/>
              <w:rPr>
                <w:rFonts w:ascii="Gill Sans MT" w:hAnsi="Gill Sans MT" w:cs="Arial"/>
              </w:rPr>
            </w:pPr>
            <w:r w:rsidRPr="00D3026F">
              <w:rPr>
                <w:rFonts w:ascii="Gill Sans MT" w:hAnsi="Gill Sans MT" w:cs="Arial"/>
              </w:rPr>
              <w:t>A local policy to support health practitioners in considering the impact of physical disabilities on an adults’ decision making, including the duties to assess, where capacity to take a major decision is in doubt (as outlined in 11).</w:t>
            </w:r>
          </w:p>
          <w:p w14:paraId="72BA03BC" w14:textId="77777777" w:rsidR="003E3932" w:rsidRPr="00D3026F" w:rsidRDefault="003E3932" w:rsidP="00D3026F">
            <w:pPr>
              <w:jc w:val="both"/>
              <w:rPr>
                <w:rFonts w:ascii="Gill Sans MT" w:eastAsiaTheme="minorEastAsia" w:hAnsi="Gill Sans MT" w:cs="Arial"/>
                <w:sz w:val="24"/>
                <w:szCs w:val="24"/>
              </w:rPr>
            </w:pPr>
          </w:p>
        </w:tc>
        <w:tc>
          <w:tcPr>
            <w:tcW w:w="3780" w:type="dxa"/>
          </w:tcPr>
          <w:p w14:paraId="652E436C" w14:textId="4B95202C" w:rsidR="003E3932" w:rsidRDefault="003E3932" w:rsidP="0081773E">
            <w:r>
              <w:t xml:space="preserve">MCA- All Adult social staff to receive updated </w:t>
            </w:r>
            <w:r w:rsidR="00E03149">
              <w:t xml:space="preserve">MCA training </w:t>
            </w:r>
          </w:p>
        </w:tc>
        <w:tc>
          <w:tcPr>
            <w:tcW w:w="2243" w:type="dxa"/>
          </w:tcPr>
          <w:p w14:paraId="3ADD7774" w14:textId="77777777" w:rsidR="003E3932" w:rsidRDefault="003E3932" w:rsidP="005371B2">
            <w:pPr>
              <w:jc w:val="center"/>
            </w:pPr>
            <w:r>
              <w:t xml:space="preserve">Head of Adult Safeguarding </w:t>
            </w:r>
          </w:p>
        </w:tc>
        <w:tc>
          <w:tcPr>
            <w:tcW w:w="1207" w:type="dxa"/>
          </w:tcPr>
          <w:p w14:paraId="5D3C6239" w14:textId="41E98756" w:rsidR="003E3932" w:rsidRDefault="003E3932" w:rsidP="005371B2">
            <w:pPr>
              <w:jc w:val="center"/>
            </w:pPr>
            <w:r>
              <w:t>Jan/ Feb 2022</w:t>
            </w:r>
          </w:p>
        </w:tc>
        <w:tc>
          <w:tcPr>
            <w:tcW w:w="1134" w:type="dxa"/>
            <w:shd w:val="clear" w:color="auto" w:fill="92D050"/>
          </w:tcPr>
          <w:p w14:paraId="77A9AC00" w14:textId="5A3D7D48" w:rsidR="003E3932" w:rsidRDefault="00E03149" w:rsidP="005371B2">
            <w:pPr>
              <w:jc w:val="center"/>
            </w:pPr>
            <w:r>
              <w:t xml:space="preserve">Amber </w:t>
            </w:r>
          </w:p>
        </w:tc>
        <w:tc>
          <w:tcPr>
            <w:tcW w:w="2693" w:type="dxa"/>
          </w:tcPr>
          <w:p w14:paraId="54BC562A" w14:textId="1F284766" w:rsidR="003E3932" w:rsidRPr="002910EA" w:rsidRDefault="00E03149" w:rsidP="002910EA">
            <w:pPr>
              <w:jc w:val="both"/>
              <w:rPr>
                <w:i/>
              </w:rPr>
            </w:pPr>
            <w:r w:rsidRPr="002910EA">
              <w:rPr>
                <w:i/>
              </w:rPr>
              <w:t xml:space="preserve">MCA Training is being undertaken for all Adult social care staff </w:t>
            </w:r>
            <w:r w:rsidR="00E006CF">
              <w:rPr>
                <w:i/>
              </w:rPr>
              <w:t xml:space="preserve">which includes considering physical disabilities on a person’s decision making. </w:t>
            </w:r>
          </w:p>
        </w:tc>
      </w:tr>
      <w:tr w:rsidR="003E3932" w14:paraId="7B33BA47" w14:textId="58426724" w:rsidTr="00E006CF">
        <w:tc>
          <w:tcPr>
            <w:tcW w:w="589" w:type="dxa"/>
          </w:tcPr>
          <w:p w14:paraId="0839B33D" w14:textId="77777777" w:rsidR="003E3932" w:rsidRDefault="003E3932" w:rsidP="005371B2">
            <w:pPr>
              <w:jc w:val="center"/>
            </w:pPr>
            <w:r>
              <w:t>13</w:t>
            </w:r>
          </w:p>
        </w:tc>
        <w:tc>
          <w:tcPr>
            <w:tcW w:w="3947" w:type="dxa"/>
          </w:tcPr>
          <w:p w14:paraId="289DDE57" w14:textId="77777777" w:rsidR="003E3932" w:rsidRDefault="003E3932" w:rsidP="00D3026F">
            <w:pPr>
              <w:jc w:val="both"/>
              <w:rPr>
                <w:rFonts w:ascii="Gill Sans MT" w:hAnsi="Gill Sans MT" w:cs="Arial"/>
              </w:rPr>
            </w:pPr>
            <w:bookmarkStart w:id="0" w:name="_Hlk86842728"/>
            <w:r w:rsidRPr="00D3026F">
              <w:rPr>
                <w:rFonts w:ascii="Gill Sans MT" w:hAnsi="Gill Sans MT" w:cs="Arial"/>
              </w:rPr>
              <w:t>Guidance and training for health practitioners on the role of the decision maker identifying doubt about relevant decision-making (for example consent for/refusal of health care treatment), arising or related to a physical disability prompting the need for a formal MCA assessment</w:t>
            </w:r>
          </w:p>
          <w:bookmarkEnd w:id="0"/>
          <w:p w14:paraId="4B676567" w14:textId="77777777" w:rsidR="003E3932" w:rsidRPr="00D3026F" w:rsidRDefault="003E3932" w:rsidP="00D3026F">
            <w:pPr>
              <w:jc w:val="both"/>
              <w:rPr>
                <w:rFonts w:ascii="Gill Sans MT" w:hAnsi="Gill Sans MT" w:cs="Arial"/>
              </w:rPr>
            </w:pPr>
          </w:p>
        </w:tc>
        <w:tc>
          <w:tcPr>
            <w:tcW w:w="3780" w:type="dxa"/>
          </w:tcPr>
          <w:p w14:paraId="58AA0A4A" w14:textId="0FF752B6" w:rsidR="003E3932" w:rsidRDefault="00C01386" w:rsidP="0081773E">
            <w:r>
              <w:t xml:space="preserve">Clinical staff to undertake Mental Capacity Act training with a focus on relevant decision makers. </w:t>
            </w:r>
          </w:p>
        </w:tc>
        <w:tc>
          <w:tcPr>
            <w:tcW w:w="2243" w:type="dxa"/>
          </w:tcPr>
          <w:p w14:paraId="0E59ABFA" w14:textId="685D38C6" w:rsidR="003E3932" w:rsidRDefault="003E3932" w:rsidP="005371B2">
            <w:pPr>
              <w:jc w:val="center"/>
            </w:pPr>
          </w:p>
        </w:tc>
        <w:tc>
          <w:tcPr>
            <w:tcW w:w="1207" w:type="dxa"/>
          </w:tcPr>
          <w:p w14:paraId="2127494C" w14:textId="6A64C767" w:rsidR="003E3932" w:rsidRDefault="00C01386" w:rsidP="005371B2">
            <w:pPr>
              <w:jc w:val="center"/>
            </w:pPr>
            <w:r>
              <w:t>Sep 2021</w:t>
            </w:r>
          </w:p>
        </w:tc>
        <w:tc>
          <w:tcPr>
            <w:tcW w:w="1134" w:type="dxa"/>
            <w:shd w:val="clear" w:color="auto" w:fill="92D050"/>
          </w:tcPr>
          <w:p w14:paraId="6841113A" w14:textId="77777777" w:rsidR="003E3932" w:rsidRDefault="003E3932" w:rsidP="005371B2">
            <w:pPr>
              <w:jc w:val="center"/>
            </w:pPr>
          </w:p>
        </w:tc>
        <w:tc>
          <w:tcPr>
            <w:tcW w:w="2693" w:type="dxa"/>
          </w:tcPr>
          <w:p w14:paraId="0B4C681F" w14:textId="77777777" w:rsidR="00C01386" w:rsidRPr="00C01386" w:rsidRDefault="00C01386" w:rsidP="00C01386">
            <w:pPr>
              <w:rPr>
                <w:rFonts w:eastAsia="Times New Roman"/>
                <w:i/>
                <w:color w:val="000000"/>
                <w:sz w:val="24"/>
                <w:szCs w:val="24"/>
              </w:rPr>
            </w:pPr>
            <w:r w:rsidRPr="00C01386">
              <w:rPr>
                <w:rFonts w:eastAsia="Times New Roman"/>
                <w:i/>
                <w:color w:val="000000"/>
              </w:rPr>
              <w:t>LGT- New mandatory training on Mental Capacity Act 2005 and Best Interests for registered healthcare professionals launched 1st September 2021 eLearning - staff must take a test to pass this and it must be completed every three years</w:t>
            </w:r>
            <w:r w:rsidRPr="00C01386">
              <w:rPr>
                <w:rFonts w:eastAsia="Times New Roman"/>
                <w:color w:val="000000"/>
              </w:rPr>
              <w:t>. </w:t>
            </w:r>
            <w:r w:rsidRPr="00C01386">
              <w:rPr>
                <w:rFonts w:eastAsia="Times New Roman"/>
                <w:i/>
                <w:color w:val="000000"/>
                <w:sz w:val="24"/>
                <w:szCs w:val="24"/>
              </w:rPr>
              <w:t>Workbook Mental Capacity Act and Best Interests for registered health care professionals launched 1st September </w:t>
            </w:r>
          </w:p>
          <w:p w14:paraId="120F59E1" w14:textId="551C6CAB" w:rsidR="00C01386" w:rsidRPr="00C01386" w:rsidRDefault="00C01386" w:rsidP="00C01386">
            <w:pPr>
              <w:rPr>
                <w:rFonts w:eastAsia="Times New Roman"/>
                <w:color w:val="000000"/>
              </w:rPr>
            </w:pPr>
          </w:p>
          <w:p w14:paraId="067BC0C6" w14:textId="77777777" w:rsidR="003E3932" w:rsidRDefault="003E3932" w:rsidP="005371B2">
            <w:pPr>
              <w:jc w:val="center"/>
            </w:pPr>
          </w:p>
        </w:tc>
      </w:tr>
    </w:tbl>
    <w:p w14:paraId="0A7E358D" w14:textId="77777777" w:rsidR="00C247D4" w:rsidRDefault="00C247D4"/>
    <w:sectPr w:rsidR="00C247D4" w:rsidSect="00D3026F">
      <w:headerReference w:type="default" r:id="rId11"/>
      <w:pgSz w:w="16838" w:h="11906" w:orient="landscape"/>
      <w:pgMar w:top="1440" w:right="1440" w:bottom="851" w:left="1440" w:header="708" w:footer="1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7C0D7" w14:textId="77777777" w:rsidR="00FA1B71" w:rsidRDefault="00FA1B71" w:rsidP="00D3026F">
      <w:pPr>
        <w:spacing w:after="0" w:line="240" w:lineRule="auto"/>
      </w:pPr>
      <w:r>
        <w:separator/>
      </w:r>
    </w:p>
  </w:endnote>
  <w:endnote w:type="continuationSeparator" w:id="0">
    <w:p w14:paraId="141491A6" w14:textId="77777777" w:rsidR="00FA1B71" w:rsidRDefault="00FA1B71" w:rsidP="00D30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D5088" w14:textId="77777777" w:rsidR="00FA1B71" w:rsidRDefault="00FA1B71" w:rsidP="00D3026F">
      <w:pPr>
        <w:spacing w:after="0" w:line="240" w:lineRule="auto"/>
      </w:pPr>
      <w:r>
        <w:separator/>
      </w:r>
    </w:p>
  </w:footnote>
  <w:footnote w:type="continuationSeparator" w:id="0">
    <w:p w14:paraId="67194DD6" w14:textId="77777777" w:rsidR="00FA1B71" w:rsidRDefault="00FA1B71" w:rsidP="00D302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53F4B" w14:textId="77777777" w:rsidR="00D3026F" w:rsidRPr="00C459EF" w:rsidRDefault="00D3026F" w:rsidP="00D3026F">
    <w:pPr>
      <w:spacing w:after="0" w:line="240" w:lineRule="auto"/>
      <w:jc w:val="center"/>
      <w:rPr>
        <w:rFonts w:ascii="Gill Sans MT" w:hAnsi="Gill Sans MT"/>
        <w:b/>
        <w:sz w:val="24"/>
        <w:szCs w:val="24"/>
      </w:rPr>
    </w:pPr>
    <w:r w:rsidRPr="00C459EF">
      <w:rPr>
        <w:rFonts w:ascii="Gill Sans MT" w:hAnsi="Gill Sans MT"/>
        <w:noProof/>
        <w:lang w:eastAsia="en-GB"/>
      </w:rPr>
      <w:drawing>
        <wp:anchor distT="0" distB="0" distL="114300" distR="114300" simplePos="0" relativeHeight="251657216" behindDoc="1" locked="0" layoutInCell="1" allowOverlap="1" wp14:anchorId="1F6C558A" wp14:editId="1A1A6155">
          <wp:simplePos x="0" y="0"/>
          <wp:positionH relativeFrom="page">
            <wp:posOffset>9129395</wp:posOffset>
          </wp:positionH>
          <wp:positionV relativeFrom="paragraph">
            <wp:posOffset>-448945</wp:posOffset>
          </wp:positionV>
          <wp:extent cx="1500506" cy="920148"/>
          <wp:effectExtent l="0" t="0" r="444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0506" cy="920148"/>
                  </a:xfrm>
                  <a:prstGeom prst="rect">
                    <a:avLst/>
                  </a:prstGeom>
                  <a:noFill/>
                </pic:spPr>
              </pic:pic>
            </a:graphicData>
          </a:graphic>
          <wp14:sizeRelH relativeFrom="margin">
            <wp14:pctWidth>0</wp14:pctWidth>
          </wp14:sizeRelH>
          <wp14:sizeRelV relativeFrom="margin">
            <wp14:pctHeight>0</wp14:pctHeight>
          </wp14:sizeRelV>
        </wp:anchor>
      </w:drawing>
    </w:r>
    <w:r w:rsidR="46344E81" w:rsidRPr="600DC73D">
      <w:rPr>
        <w:rFonts w:ascii="Gill Sans MT" w:hAnsi="Gill Sans MT"/>
        <w:b/>
        <w:bCs/>
        <w:sz w:val="24"/>
        <w:szCs w:val="24"/>
      </w:rPr>
      <w:t>Safeguarding Adults Review (Mr F)</w:t>
    </w:r>
  </w:p>
  <w:p w14:paraId="525B27A3" w14:textId="07D9B4B5" w:rsidR="00C01386" w:rsidRPr="00C459EF" w:rsidRDefault="00D3026F" w:rsidP="00C01386">
    <w:pPr>
      <w:spacing w:after="0" w:line="240" w:lineRule="auto"/>
      <w:jc w:val="center"/>
      <w:rPr>
        <w:rFonts w:ascii="Gill Sans MT" w:hAnsi="Gill Sans MT"/>
        <w:b/>
        <w:sz w:val="24"/>
        <w:szCs w:val="24"/>
      </w:rPr>
    </w:pPr>
    <w:r w:rsidRPr="00C459EF">
      <w:rPr>
        <w:rFonts w:ascii="Gill Sans MT" w:hAnsi="Gill Sans MT"/>
        <w:b/>
        <w:sz w:val="24"/>
        <w:szCs w:val="24"/>
      </w:rPr>
      <w:t>Action Plan</w:t>
    </w:r>
    <w:r w:rsidR="00C01386">
      <w:rPr>
        <w:rFonts w:ascii="Gill Sans MT" w:hAnsi="Gill Sans MT"/>
        <w:b/>
        <w:sz w:val="24"/>
        <w:szCs w:val="24"/>
      </w:rPr>
      <w:t xml:space="preserve">- Update </w:t>
    </w:r>
    <w:r w:rsidR="00E006CF">
      <w:rPr>
        <w:rFonts w:ascii="Gill Sans MT" w:hAnsi="Gill Sans MT"/>
        <w:b/>
        <w:sz w:val="24"/>
        <w:szCs w:val="24"/>
      </w:rPr>
      <w:t>Aug 23</w:t>
    </w:r>
  </w:p>
  <w:p w14:paraId="0C1EB495" w14:textId="77777777" w:rsidR="00D3026F" w:rsidRDefault="00D302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15C19"/>
    <w:multiLevelType w:val="hybridMultilevel"/>
    <w:tmpl w:val="5CACC2B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487CEC"/>
    <w:multiLevelType w:val="hybridMultilevel"/>
    <w:tmpl w:val="2B9A2CB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2AC4A13"/>
    <w:multiLevelType w:val="hybridMultilevel"/>
    <w:tmpl w:val="E2B2566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7F17542"/>
    <w:multiLevelType w:val="hybridMultilevel"/>
    <w:tmpl w:val="9D9AC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7E717A"/>
    <w:multiLevelType w:val="hybridMultilevel"/>
    <w:tmpl w:val="979CD7A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BBC10D9"/>
    <w:multiLevelType w:val="hybridMultilevel"/>
    <w:tmpl w:val="5EDC887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FBC7500"/>
    <w:multiLevelType w:val="hybridMultilevel"/>
    <w:tmpl w:val="9D9AC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7770C6"/>
    <w:multiLevelType w:val="hybridMultilevel"/>
    <w:tmpl w:val="9D9AC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9754D1"/>
    <w:multiLevelType w:val="hybridMultilevel"/>
    <w:tmpl w:val="35ECF1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290F65"/>
    <w:multiLevelType w:val="hybridMultilevel"/>
    <w:tmpl w:val="EE9A3F8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75214C4"/>
    <w:multiLevelType w:val="hybridMultilevel"/>
    <w:tmpl w:val="1A5C9A4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8C47FCE"/>
    <w:multiLevelType w:val="hybridMultilevel"/>
    <w:tmpl w:val="3EF8108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8D62A3A"/>
    <w:multiLevelType w:val="hybridMultilevel"/>
    <w:tmpl w:val="EE9A3F8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C641AE8"/>
    <w:multiLevelType w:val="hybridMultilevel"/>
    <w:tmpl w:val="C3029D4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6311760"/>
    <w:multiLevelType w:val="hybridMultilevel"/>
    <w:tmpl w:val="7D80F61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80F39CB"/>
    <w:multiLevelType w:val="hybridMultilevel"/>
    <w:tmpl w:val="741A842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9E77087"/>
    <w:multiLevelType w:val="hybridMultilevel"/>
    <w:tmpl w:val="DE0C04E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A4B7580"/>
    <w:multiLevelType w:val="hybridMultilevel"/>
    <w:tmpl w:val="0292FE6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B17523F"/>
    <w:multiLevelType w:val="hybridMultilevel"/>
    <w:tmpl w:val="EE7EE0C0"/>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B594169"/>
    <w:multiLevelType w:val="hybridMultilevel"/>
    <w:tmpl w:val="382A3370"/>
    <w:lvl w:ilvl="0" w:tplc="D81EB5EA">
      <w:start w:val="1"/>
      <w:numFmt w:val="lowerLetter"/>
      <w:lvlText w:val="%1)"/>
      <w:lvlJc w:val="left"/>
      <w:pPr>
        <w:ind w:left="720" w:hanging="360"/>
      </w:pPr>
    </w:lvl>
    <w:lvl w:ilvl="1" w:tplc="71262940">
      <w:start w:val="1"/>
      <w:numFmt w:val="lowerLetter"/>
      <w:lvlText w:val="%2."/>
      <w:lvlJc w:val="left"/>
      <w:pPr>
        <w:ind w:left="1440" w:hanging="360"/>
      </w:pPr>
    </w:lvl>
    <w:lvl w:ilvl="2" w:tplc="D3340E0A">
      <w:start w:val="1"/>
      <w:numFmt w:val="lowerRoman"/>
      <w:lvlText w:val="%3."/>
      <w:lvlJc w:val="right"/>
      <w:pPr>
        <w:ind w:left="2160" w:hanging="180"/>
      </w:pPr>
    </w:lvl>
    <w:lvl w:ilvl="3" w:tplc="DF707C0C">
      <w:start w:val="1"/>
      <w:numFmt w:val="decimal"/>
      <w:lvlText w:val="%4."/>
      <w:lvlJc w:val="left"/>
      <w:pPr>
        <w:ind w:left="2880" w:hanging="360"/>
      </w:pPr>
    </w:lvl>
    <w:lvl w:ilvl="4" w:tplc="7A0A6526">
      <w:start w:val="1"/>
      <w:numFmt w:val="lowerLetter"/>
      <w:lvlText w:val="%5."/>
      <w:lvlJc w:val="left"/>
      <w:pPr>
        <w:ind w:left="3600" w:hanging="360"/>
      </w:pPr>
    </w:lvl>
    <w:lvl w:ilvl="5" w:tplc="C38C7F10">
      <w:start w:val="1"/>
      <w:numFmt w:val="lowerRoman"/>
      <w:lvlText w:val="%6."/>
      <w:lvlJc w:val="right"/>
      <w:pPr>
        <w:ind w:left="4320" w:hanging="180"/>
      </w:pPr>
    </w:lvl>
    <w:lvl w:ilvl="6" w:tplc="1B1073D6">
      <w:start w:val="1"/>
      <w:numFmt w:val="decimal"/>
      <w:lvlText w:val="%7."/>
      <w:lvlJc w:val="left"/>
      <w:pPr>
        <w:ind w:left="5040" w:hanging="360"/>
      </w:pPr>
    </w:lvl>
    <w:lvl w:ilvl="7" w:tplc="4C0280A8">
      <w:start w:val="1"/>
      <w:numFmt w:val="lowerLetter"/>
      <w:lvlText w:val="%8."/>
      <w:lvlJc w:val="left"/>
      <w:pPr>
        <w:ind w:left="5760" w:hanging="360"/>
      </w:pPr>
    </w:lvl>
    <w:lvl w:ilvl="8" w:tplc="23F039F4">
      <w:start w:val="1"/>
      <w:numFmt w:val="lowerRoman"/>
      <w:lvlText w:val="%9."/>
      <w:lvlJc w:val="right"/>
      <w:pPr>
        <w:ind w:left="6480" w:hanging="180"/>
      </w:pPr>
    </w:lvl>
  </w:abstractNum>
  <w:abstractNum w:abstractNumId="20" w15:restartNumberingAfterBreak="0">
    <w:nsid w:val="6500039F"/>
    <w:multiLevelType w:val="hybridMultilevel"/>
    <w:tmpl w:val="0F38225C"/>
    <w:lvl w:ilvl="0" w:tplc="847271FA">
      <w:start w:val="1"/>
      <w:numFmt w:val="lowerLetter"/>
      <w:lvlText w:val="%1)"/>
      <w:lvlJc w:val="left"/>
      <w:pPr>
        <w:ind w:left="720" w:hanging="360"/>
      </w:pPr>
    </w:lvl>
    <w:lvl w:ilvl="1" w:tplc="05701976">
      <w:start w:val="1"/>
      <w:numFmt w:val="lowerLetter"/>
      <w:lvlText w:val="%2."/>
      <w:lvlJc w:val="left"/>
      <w:pPr>
        <w:ind w:left="1440" w:hanging="360"/>
      </w:pPr>
    </w:lvl>
    <w:lvl w:ilvl="2" w:tplc="1592F9CE">
      <w:start w:val="1"/>
      <w:numFmt w:val="lowerRoman"/>
      <w:lvlText w:val="%3."/>
      <w:lvlJc w:val="right"/>
      <w:pPr>
        <w:ind w:left="2160" w:hanging="180"/>
      </w:pPr>
    </w:lvl>
    <w:lvl w:ilvl="3" w:tplc="1C6478C4">
      <w:start w:val="1"/>
      <w:numFmt w:val="decimal"/>
      <w:lvlText w:val="%4."/>
      <w:lvlJc w:val="left"/>
      <w:pPr>
        <w:ind w:left="2880" w:hanging="360"/>
      </w:pPr>
    </w:lvl>
    <w:lvl w:ilvl="4" w:tplc="5A98D6BC">
      <w:start w:val="1"/>
      <w:numFmt w:val="lowerLetter"/>
      <w:lvlText w:val="%5."/>
      <w:lvlJc w:val="left"/>
      <w:pPr>
        <w:ind w:left="3600" w:hanging="360"/>
      </w:pPr>
    </w:lvl>
    <w:lvl w:ilvl="5" w:tplc="6D98F4AA">
      <w:start w:val="1"/>
      <w:numFmt w:val="lowerRoman"/>
      <w:lvlText w:val="%6."/>
      <w:lvlJc w:val="right"/>
      <w:pPr>
        <w:ind w:left="4320" w:hanging="180"/>
      </w:pPr>
    </w:lvl>
    <w:lvl w:ilvl="6" w:tplc="CB40F0A8">
      <w:start w:val="1"/>
      <w:numFmt w:val="decimal"/>
      <w:lvlText w:val="%7."/>
      <w:lvlJc w:val="left"/>
      <w:pPr>
        <w:ind w:left="5040" w:hanging="360"/>
      </w:pPr>
    </w:lvl>
    <w:lvl w:ilvl="7" w:tplc="1EE0CD56">
      <w:start w:val="1"/>
      <w:numFmt w:val="lowerLetter"/>
      <w:lvlText w:val="%8."/>
      <w:lvlJc w:val="left"/>
      <w:pPr>
        <w:ind w:left="5760" w:hanging="360"/>
      </w:pPr>
    </w:lvl>
    <w:lvl w:ilvl="8" w:tplc="106C6890">
      <w:start w:val="1"/>
      <w:numFmt w:val="lowerRoman"/>
      <w:lvlText w:val="%9."/>
      <w:lvlJc w:val="right"/>
      <w:pPr>
        <w:ind w:left="6480" w:hanging="180"/>
      </w:pPr>
    </w:lvl>
  </w:abstractNum>
  <w:abstractNum w:abstractNumId="21" w15:restartNumberingAfterBreak="0">
    <w:nsid w:val="689A300C"/>
    <w:multiLevelType w:val="hybridMultilevel"/>
    <w:tmpl w:val="9D9AC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2F3917"/>
    <w:multiLevelType w:val="hybridMultilevel"/>
    <w:tmpl w:val="2B9A2CB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70C215F5"/>
    <w:multiLevelType w:val="hybridMultilevel"/>
    <w:tmpl w:val="5CACC2B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7FD02D9D"/>
    <w:multiLevelType w:val="hybridMultilevel"/>
    <w:tmpl w:val="CF76794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435662506">
    <w:abstractNumId w:val="20"/>
  </w:num>
  <w:num w:numId="2" w16cid:durableId="1472404993">
    <w:abstractNumId w:val="19"/>
  </w:num>
  <w:num w:numId="3" w16cid:durableId="976184115">
    <w:abstractNumId w:val="6"/>
  </w:num>
  <w:num w:numId="4" w16cid:durableId="1336882731">
    <w:abstractNumId w:val="21"/>
  </w:num>
  <w:num w:numId="5" w16cid:durableId="1318605645">
    <w:abstractNumId w:val="7"/>
  </w:num>
  <w:num w:numId="6" w16cid:durableId="2114857575">
    <w:abstractNumId w:val="3"/>
  </w:num>
  <w:num w:numId="7" w16cid:durableId="2020308700">
    <w:abstractNumId w:val="17"/>
  </w:num>
  <w:num w:numId="8" w16cid:durableId="1163548813">
    <w:abstractNumId w:val="8"/>
  </w:num>
  <w:num w:numId="9" w16cid:durableId="1522664263">
    <w:abstractNumId w:val="18"/>
  </w:num>
  <w:num w:numId="10" w16cid:durableId="538322914">
    <w:abstractNumId w:val="5"/>
  </w:num>
  <w:num w:numId="11" w16cid:durableId="451630254">
    <w:abstractNumId w:val="24"/>
  </w:num>
  <w:num w:numId="12" w16cid:durableId="1813906068">
    <w:abstractNumId w:val="15"/>
  </w:num>
  <w:num w:numId="13" w16cid:durableId="1240746985">
    <w:abstractNumId w:val="1"/>
  </w:num>
  <w:num w:numId="14" w16cid:durableId="811479249">
    <w:abstractNumId w:val="22"/>
  </w:num>
  <w:num w:numId="15" w16cid:durableId="590284930">
    <w:abstractNumId w:val="4"/>
  </w:num>
  <w:num w:numId="16" w16cid:durableId="244993177">
    <w:abstractNumId w:val="10"/>
  </w:num>
  <w:num w:numId="17" w16cid:durableId="349986765">
    <w:abstractNumId w:val="14"/>
  </w:num>
  <w:num w:numId="18" w16cid:durableId="1887446212">
    <w:abstractNumId w:val="13"/>
  </w:num>
  <w:num w:numId="19" w16cid:durableId="174269975">
    <w:abstractNumId w:val="23"/>
  </w:num>
  <w:num w:numId="20" w16cid:durableId="1337266685">
    <w:abstractNumId w:val="11"/>
  </w:num>
  <w:num w:numId="21" w16cid:durableId="1790080890">
    <w:abstractNumId w:val="9"/>
  </w:num>
  <w:num w:numId="22" w16cid:durableId="80301543">
    <w:abstractNumId w:val="0"/>
  </w:num>
  <w:num w:numId="23" w16cid:durableId="887112103">
    <w:abstractNumId w:val="12"/>
  </w:num>
  <w:num w:numId="24" w16cid:durableId="1861428084">
    <w:abstractNumId w:val="16"/>
  </w:num>
  <w:num w:numId="25" w16cid:durableId="11006374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26F"/>
    <w:rsid w:val="00071B23"/>
    <w:rsid w:val="00086184"/>
    <w:rsid w:val="000D7719"/>
    <w:rsid w:val="00120CE2"/>
    <w:rsid w:val="001E4C9C"/>
    <w:rsid w:val="001F51B5"/>
    <w:rsid w:val="002545DB"/>
    <w:rsid w:val="00260748"/>
    <w:rsid w:val="00261C15"/>
    <w:rsid w:val="002910EA"/>
    <w:rsid w:val="00291C82"/>
    <w:rsid w:val="0030135C"/>
    <w:rsid w:val="00303F14"/>
    <w:rsid w:val="00341CD6"/>
    <w:rsid w:val="003E3932"/>
    <w:rsid w:val="00415629"/>
    <w:rsid w:val="00431542"/>
    <w:rsid w:val="0043194E"/>
    <w:rsid w:val="00500CFB"/>
    <w:rsid w:val="00576C7F"/>
    <w:rsid w:val="005A306B"/>
    <w:rsid w:val="005E52E7"/>
    <w:rsid w:val="005F6933"/>
    <w:rsid w:val="00626515"/>
    <w:rsid w:val="006C5C17"/>
    <w:rsid w:val="0071537D"/>
    <w:rsid w:val="00715B5D"/>
    <w:rsid w:val="0075085C"/>
    <w:rsid w:val="00750D70"/>
    <w:rsid w:val="00753409"/>
    <w:rsid w:val="007A597A"/>
    <w:rsid w:val="0081773E"/>
    <w:rsid w:val="008B172E"/>
    <w:rsid w:val="00A10AE5"/>
    <w:rsid w:val="00A41B3C"/>
    <w:rsid w:val="00A93908"/>
    <w:rsid w:val="00BD0E4C"/>
    <w:rsid w:val="00C01386"/>
    <w:rsid w:val="00C247D4"/>
    <w:rsid w:val="00CC784E"/>
    <w:rsid w:val="00D3026F"/>
    <w:rsid w:val="00DE712A"/>
    <w:rsid w:val="00E006CF"/>
    <w:rsid w:val="00E03149"/>
    <w:rsid w:val="00E1095D"/>
    <w:rsid w:val="00EC1393"/>
    <w:rsid w:val="00EE571B"/>
    <w:rsid w:val="00F01266"/>
    <w:rsid w:val="00F01541"/>
    <w:rsid w:val="00F57EA9"/>
    <w:rsid w:val="00FA1B71"/>
    <w:rsid w:val="06247475"/>
    <w:rsid w:val="07F68A46"/>
    <w:rsid w:val="08AA6C9D"/>
    <w:rsid w:val="117BDBEE"/>
    <w:rsid w:val="11F7400F"/>
    <w:rsid w:val="1BD661A5"/>
    <w:rsid w:val="1FB02126"/>
    <w:rsid w:val="1FFE30AC"/>
    <w:rsid w:val="2113032C"/>
    <w:rsid w:val="21379D1B"/>
    <w:rsid w:val="2B0C6F00"/>
    <w:rsid w:val="2B2AFEBA"/>
    <w:rsid w:val="2DF30912"/>
    <w:rsid w:val="2E6FBC85"/>
    <w:rsid w:val="32F6B72F"/>
    <w:rsid w:val="37143B7E"/>
    <w:rsid w:val="3874FED1"/>
    <w:rsid w:val="46344E81"/>
    <w:rsid w:val="4B859F26"/>
    <w:rsid w:val="4EB8FD3B"/>
    <w:rsid w:val="50069695"/>
    <w:rsid w:val="51F1B047"/>
    <w:rsid w:val="52C3B452"/>
    <w:rsid w:val="55B34644"/>
    <w:rsid w:val="5941592D"/>
    <w:rsid w:val="5A74D4A0"/>
    <w:rsid w:val="5ABE89C3"/>
    <w:rsid w:val="5CA81FFF"/>
    <w:rsid w:val="5E72BDE5"/>
    <w:rsid w:val="600DC73D"/>
    <w:rsid w:val="604855E7"/>
    <w:rsid w:val="62F9A69C"/>
    <w:rsid w:val="6648B2B0"/>
    <w:rsid w:val="6737BE98"/>
    <w:rsid w:val="67EE07CF"/>
    <w:rsid w:val="69510382"/>
    <w:rsid w:val="69BD019A"/>
    <w:rsid w:val="6B4874D0"/>
    <w:rsid w:val="6B52CD6A"/>
    <w:rsid w:val="6E9E6C3A"/>
    <w:rsid w:val="712B6AF2"/>
    <w:rsid w:val="75351B89"/>
    <w:rsid w:val="76035347"/>
    <w:rsid w:val="775C1E2B"/>
    <w:rsid w:val="7B5C75D1"/>
    <w:rsid w:val="7C4A1EA9"/>
    <w:rsid w:val="7C9CDFAB"/>
    <w:rsid w:val="7E979C3D"/>
    <w:rsid w:val="7EDFD2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2C99C88"/>
  <w15:docId w15:val="{F153E9B0-AF83-417F-8627-75B1D76E0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026F"/>
  </w:style>
  <w:style w:type="paragraph" w:styleId="Heading2">
    <w:name w:val="heading 2"/>
    <w:aliases w:val="Numbered - 2"/>
    <w:basedOn w:val="Normal"/>
    <w:next w:val="Normal"/>
    <w:link w:val="Heading2Char"/>
    <w:qFormat/>
    <w:rsid w:val="00D3026F"/>
    <w:pPr>
      <w:keepNext/>
      <w:spacing w:after="0" w:line="240" w:lineRule="auto"/>
      <w:outlineLvl w:val="1"/>
    </w:pPr>
    <w:rPr>
      <w:rFonts w:ascii="Arial" w:eastAsia="Times New Roman" w:hAnsi="Arial" w:cs="Times New Roman"/>
      <w:bCs/>
      <w:sz w:val="34"/>
      <w:szCs w:val="3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302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D3026F"/>
    <w:pPr>
      <w:spacing w:after="0" w:line="240" w:lineRule="auto"/>
    </w:pPr>
    <w:rPr>
      <w:sz w:val="20"/>
      <w:szCs w:val="20"/>
    </w:rPr>
  </w:style>
  <w:style w:type="character" w:customStyle="1" w:styleId="FootnoteTextChar">
    <w:name w:val="Footnote Text Char"/>
    <w:basedOn w:val="DefaultParagraphFont"/>
    <w:link w:val="FootnoteText"/>
    <w:uiPriority w:val="99"/>
    <w:rsid w:val="00D3026F"/>
    <w:rPr>
      <w:sz w:val="20"/>
      <w:szCs w:val="20"/>
    </w:rPr>
  </w:style>
  <w:style w:type="character" w:styleId="FootnoteReference">
    <w:name w:val="footnote reference"/>
    <w:basedOn w:val="DefaultParagraphFont"/>
    <w:uiPriority w:val="99"/>
    <w:unhideWhenUsed/>
    <w:rsid w:val="00D3026F"/>
    <w:rPr>
      <w:vertAlign w:val="superscript"/>
    </w:rPr>
  </w:style>
  <w:style w:type="character" w:styleId="Hyperlink">
    <w:name w:val="Hyperlink"/>
    <w:uiPriority w:val="99"/>
    <w:unhideWhenUsed/>
    <w:rsid w:val="00D3026F"/>
    <w:rPr>
      <w:color w:val="0563C1"/>
      <w:u w:val="single"/>
    </w:rPr>
  </w:style>
  <w:style w:type="paragraph" w:styleId="Header">
    <w:name w:val="header"/>
    <w:basedOn w:val="Normal"/>
    <w:link w:val="HeaderChar"/>
    <w:uiPriority w:val="99"/>
    <w:unhideWhenUsed/>
    <w:rsid w:val="00D302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026F"/>
  </w:style>
  <w:style w:type="paragraph" w:styleId="Footer">
    <w:name w:val="footer"/>
    <w:basedOn w:val="Normal"/>
    <w:link w:val="FooterChar"/>
    <w:uiPriority w:val="99"/>
    <w:unhideWhenUsed/>
    <w:rsid w:val="00D302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026F"/>
  </w:style>
  <w:style w:type="paragraph" w:styleId="ListParagraph">
    <w:name w:val="List Paragraph"/>
    <w:basedOn w:val="Normal"/>
    <w:uiPriority w:val="34"/>
    <w:qFormat/>
    <w:rsid w:val="00D3026F"/>
    <w:pPr>
      <w:spacing w:after="200" w:line="276" w:lineRule="auto"/>
      <w:ind w:left="720"/>
      <w:contextualSpacing/>
    </w:pPr>
    <w:rPr>
      <w:rFonts w:ascii="Calibri" w:eastAsia="Calibri" w:hAnsi="Calibri" w:cs="Times New Roman"/>
      <w:lang w:eastAsia="en-GB"/>
    </w:rPr>
  </w:style>
  <w:style w:type="character" w:customStyle="1" w:styleId="Heading2Char">
    <w:name w:val="Heading 2 Char"/>
    <w:aliases w:val="Numbered - 2 Char"/>
    <w:basedOn w:val="DefaultParagraphFont"/>
    <w:link w:val="Heading2"/>
    <w:rsid w:val="00D3026F"/>
    <w:rPr>
      <w:rFonts w:ascii="Arial" w:eastAsia="Times New Roman" w:hAnsi="Arial" w:cs="Times New Roman"/>
      <w:bCs/>
      <w:sz w:val="34"/>
      <w:szCs w:val="3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151069">
      <w:bodyDiv w:val="1"/>
      <w:marLeft w:val="0"/>
      <w:marRight w:val="0"/>
      <w:marTop w:val="0"/>
      <w:marBottom w:val="0"/>
      <w:divBdr>
        <w:top w:val="none" w:sz="0" w:space="0" w:color="auto"/>
        <w:left w:val="none" w:sz="0" w:space="0" w:color="auto"/>
        <w:bottom w:val="none" w:sz="0" w:space="0" w:color="auto"/>
        <w:right w:val="none" w:sz="0" w:space="0" w:color="auto"/>
      </w:divBdr>
    </w:div>
    <w:div w:id="890308022">
      <w:bodyDiv w:val="1"/>
      <w:marLeft w:val="0"/>
      <w:marRight w:val="0"/>
      <w:marTop w:val="0"/>
      <w:marBottom w:val="0"/>
      <w:divBdr>
        <w:top w:val="none" w:sz="0" w:space="0" w:color="auto"/>
        <w:left w:val="none" w:sz="0" w:space="0" w:color="auto"/>
        <w:bottom w:val="none" w:sz="0" w:space="0" w:color="auto"/>
        <w:right w:val="none" w:sz="0" w:space="0" w:color="auto"/>
      </w:divBdr>
    </w:div>
    <w:div w:id="1499925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c65629fe-fa3b-4d8f-b0ac-4a13011ce303" ContentTypeId="0x0101009CEB1DA2CC907747900298E7F35D742E"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SEL CCG Document" ma:contentTypeID="0x0101009CEB1DA2CC907747900298E7F35D742E00C041A6DF8940684098B5C9E88D2B1DD0" ma:contentTypeVersion="3" ma:contentTypeDescription="" ma:contentTypeScope="" ma:versionID="b67cc73107a91500fdb93ddf1830d52a">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103231-D2A5-4AD1-8EA9-8AAC4C015160}">
  <ds:schemaRefs>
    <ds:schemaRef ds:uri="Microsoft.SharePoint.Taxonomy.ContentTypeSync"/>
  </ds:schemaRefs>
</ds:datastoreItem>
</file>

<file path=customXml/itemProps2.xml><?xml version="1.0" encoding="utf-8"?>
<ds:datastoreItem xmlns:ds="http://schemas.openxmlformats.org/officeDocument/2006/customXml" ds:itemID="{9639D2B1-C820-4DC7-809B-7E62F375A4CD}">
  <ds:schemaRefs>
    <ds:schemaRef ds:uri="http://schemas.microsoft.com/sharepoint/v3/contenttype/forms"/>
  </ds:schemaRefs>
</ds:datastoreItem>
</file>

<file path=customXml/itemProps3.xml><?xml version="1.0" encoding="utf-8"?>
<ds:datastoreItem xmlns:ds="http://schemas.openxmlformats.org/officeDocument/2006/customXml" ds:itemID="{0DACD99C-79D3-42BB-A5C1-A7B79CCB2667}">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F1600A77-50FD-4175-BFC7-E274812187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1480</Words>
  <Characters>8440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Royal Borough of Greenwich</Company>
  <LinksUpToDate>false</LinksUpToDate>
  <CharactersWithSpaces>9901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 Bonnewell</dc:creator>
  <cp:lastModifiedBy>Helen Bonnewell</cp:lastModifiedBy>
  <cp:revision>2</cp:revision>
  <dcterms:created xsi:type="dcterms:W3CDTF">2023-08-16T11:23:00Z</dcterms:created>
  <dcterms:modified xsi:type="dcterms:W3CDTF">2023-08-16T11:23:00Z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0x0101009CEB1DA2CC907747900298E7F35D742E00C041A6DF8940684098B5C9E88D2B1DD0</vt:lpwstr>
  </property>
</Properties>
</file>