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945"/>
        <w:gridCol w:w="3625"/>
        <w:gridCol w:w="3794"/>
        <w:gridCol w:w="1529"/>
        <w:gridCol w:w="1205"/>
        <w:gridCol w:w="766"/>
        <w:gridCol w:w="3587"/>
      </w:tblGrid>
      <w:tr w:rsidR="001D4494" w:rsidRPr="003B0D38" w14:paraId="44CFDC3E" w14:textId="18C940A0" w:rsidTr="00257AC6">
        <w:trPr>
          <w:tblHeader/>
        </w:trPr>
        <w:tc>
          <w:tcPr>
            <w:tcW w:w="945" w:type="dxa"/>
          </w:tcPr>
          <w:p w14:paraId="50C14578"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 xml:space="preserve">Finding No </w:t>
            </w:r>
          </w:p>
        </w:tc>
        <w:tc>
          <w:tcPr>
            <w:tcW w:w="3625" w:type="dxa"/>
          </w:tcPr>
          <w:p w14:paraId="2192E875"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 xml:space="preserve">Recommendation </w:t>
            </w:r>
          </w:p>
        </w:tc>
        <w:tc>
          <w:tcPr>
            <w:tcW w:w="3794" w:type="dxa"/>
          </w:tcPr>
          <w:p w14:paraId="1BEC9E82"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Actions</w:t>
            </w:r>
          </w:p>
        </w:tc>
        <w:tc>
          <w:tcPr>
            <w:tcW w:w="1529" w:type="dxa"/>
          </w:tcPr>
          <w:p w14:paraId="5F899813"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 xml:space="preserve">By </w:t>
            </w:r>
            <w:proofErr w:type="gramStart"/>
            <w:r w:rsidRPr="003B0D38">
              <w:rPr>
                <w:rFonts w:asciiTheme="minorHAnsi" w:hAnsiTheme="minorHAnsi" w:cstheme="minorHAnsi"/>
              </w:rPr>
              <w:t>Who</w:t>
            </w:r>
            <w:proofErr w:type="gramEnd"/>
            <w:r w:rsidRPr="003B0D38">
              <w:rPr>
                <w:rFonts w:asciiTheme="minorHAnsi" w:hAnsiTheme="minorHAnsi" w:cstheme="minorHAnsi"/>
              </w:rPr>
              <w:t xml:space="preserve"> </w:t>
            </w:r>
          </w:p>
        </w:tc>
        <w:tc>
          <w:tcPr>
            <w:tcW w:w="1205" w:type="dxa"/>
          </w:tcPr>
          <w:p w14:paraId="3C9BE93E"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 xml:space="preserve">Timescale </w:t>
            </w:r>
          </w:p>
        </w:tc>
        <w:tc>
          <w:tcPr>
            <w:tcW w:w="766" w:type="dxa"/>
          </w:tcPr>
          <w:p w14:paraId="444FCF48" w14:textId="77777777" w:rsidR="001D4494" w:rsidRPr="003B0D38" w:rsidRDefault="001D4494" w:rsidP="003B0D38">
            <w:pPr>
              <w:pStyle w:val="Heading1"/>
              <w:spacing w:before="1"/>
              <w:ind w:left="0"/>
              <w:rPr>
                <w:rFonts w:asciiTheme="minorHAnsi" w:hAnsiTheme="minorHAnsi" w:cstheme="minorHAnsi"/>
              </w:rPr>
            </w:pPr>
            <w:r w:rsidRPr="003B0D38">
              <w:rPr>
                <w:rFonts w:asciiTheme="minorHAnsi" w:hAnsiTheme="minorHAnsi" w:cstheme="minorHAnsi"/>
              </w:rPr>
              <w:t xml:space="preserve">RAG </w:t>
            </w:r>
          </w:p>
        </w:tc>
        <w:tc>
          <w:tcPr>
            <w:tcW w:w="3587" w:type="dxa"/>
          </w:tcPr>
          <w:p w14:paraId="7BC10247" w14:textId="5F1B39D9" w:rsidR="001D4494" w:rsidRPr="003B0D38" w:rsidRDefault="001D4494" w:rsidP="003B0D38">
            <w:pPr>
              <w:pStyle w:val="Heading1"/>
              <w:spacing w:before="1"/>
              <w:ind w:left="0"/>
              <w:rPr>
                <w:rFonts w:asciiTheme="minorHAnsi" w:hAnsiTheme="minorHAnsi" w:cstheme="minorHAnsi"/>
              </w:rPr>
            </w:pPr>
            <w:proofErr w:type="gramStart"/>
            <w:r>
              <w:rPr>
                <w:rFonts w:asciiTheme="minorHAnsi" w:hAnsiTheme="minorHAnsi" w:cstheme="minorHAnsi"/>
              </w:rPr>
              <w:t xml:space="preserve">Update </w:t>
            </w:r>
            <w:r w:rsidR="0026006D">
              <w:rPr>
                <w:rFonts w:asciiTheme="minorHAnsi" w:hAnsiTheme="minorHAnsi" w:cstheme="minorHAnsi"/>
              </w:rPr>
              <w:t xml:space="preserve"> </w:t>
            </w:r>
            <w:r w:rsidR="0026006D" w:rsidRPr="0026006D">
              <w:rPr>
                <w:rFonts w:asciiTheme="minorHAnsi" w:hAnsiTheme="minorHAnsi" w:cstheme="minorHAnsi"/>
                <w:b w:val="0"/>
                <w:bCs w:val="0"/>
                <w:i/>
                <w:iCs/>
              </w:rPr>
              <w:t>(</w:t>
            </w:r>
            <w:proofErr w:type="gramEnd"/>
            <w:r w:rsidR="0026006D" w:rsidRPr="0026006D">
              <w:rPr>
                <w:rFonts w:asciiTheme="minorHAnsi" w:hAnsiTheme="minorHAnsi" w:cstheme="minorHAnsi"/>
                <w:b w:val="0"/>
                <w:bCs w:val="0"/>
                <w:i/>
                <w:iCs/>
              </w:rPr>
              <w:t>Feb 2022)</w:t>
            </w:r>
          </w:p>
        </w:tc>
      </w:tr>
      <w:tr w:rsidR="001D4494" w:rsidRPr="00E04BE1" w14:paraId="05BFA150" w14:textId="36815AED" w:rsidTr="00257AC6">
        <w:tc>
          <w:tcPr>
            <w:tcW w:w="945" w:type="dxa"/>
            <w:vMerge w:val="restart"/>
          </w:tcPr>
          <w:p w14:paraId="7540FD41" w14:textId="77777777" w:rsidR="001D4494" w:rsidRPr="00E04BE1" w:rsidRDefault="001D4494" w:rsidP="003B0D38">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1</w:t>
            </w:r>
          </w:p>
        </w:tc>
        <w:tc>
          <w:tcPr>
            <w:tcW w:w="3625" w:type="dxa"/>
          </w:tcPr>
          <w:p w14:paraId="5940926F" w14:textId="77777777" w:rsidR="001D4494" w:rsidRPr="00E04BE1" w:rsidRDefault="001D4494" w:rsidP="003B0D38">
            <w:pPr>
              <w:tabs>
                <w:tab w:val="left" w:pos="830"/>
              </w:tabs>
              <w:jc w:val="both"/>
              <w:rPr>
                <w:rFonts w:cstheme="minorHAnsi"/>
                <w:sz w:val="20"/>
                <w:szCs w:val="20"/>
              </w:rPr>
            </w:pPr>
            <w:r w:rsidRPr="00E04BE1">
              <w:rPr>
                <w:rFonts w:cstheme="minorHAnsi"/>
                <w:sz w:val="20"/>
                <w:szCs w:val="20"/>
              </w:rPr>
              <w:t>Development of a joint protocol between Housing and Adult Social Care Departments, to identify adults physically unable to leave their properties, due to them being inaccessible, and a shared action plan to remedy this.</w:t>
            </w:r>
          </w:p>
        </w:tc>
        <w:tc>
          <w:tcPr>
            <w:tcW w:w="3794" w:type="dxa"/>
          </w:tcPr>
          <w:p w14:paraId="652EFA81" w14:textId="0FCEDE56" w:rsidR="00AA4AF9" w:rsidRPr="00E04BE1" w:rsidRDefault="00AA4AF9" w:rsidP="000C5D9F">
            <w:pPr>
              <w:rPr>
                <w:rFonts w:eastAsia="Times New Roman" w:cstheme="minorHAnsi"/>
                <w:sz w:val="20"/>
                <w:szCs w:val="20"/>
              </w:rPr>
            </w:pPr>
            <w:r>
              <w:rPr>
                <w:rFonts w:eastAsia="Times New Roman" w:cstheme="minorHAnsi"/>
                <w:sz w:val="20"/>
                <w:szCs w:val="20"/>
              </w:rPr>
              <w:t xml:space="preserve">To establish </w:t>
            </w:r>
            <w:r w:rsidR="00F36F55">
              <w:rPr>
                <w:rFonts w:eastAsia="Times New Roman" w:cstheme="minorHAnsi"/>
                <w:sz w:val="20"/>
                <w:szCs w:val="20"/>
              </w:rPr>
              <w:t xml:space="preserve">a </w:t>
            </w:r>
            <w:r w:rsidR="00F36F55" w:rsidRPr="00E04BE1">
              <w:rPr>
                <w:rFonts w:eastAsia="Times New Roman" w:cstheme="minorHAnsi"/>
                <w:sz w:val="20"/>
                <w:szCs w:val="20"/>
              </w:rPr>
              <w:t>joint</w:t>
            </w:r>
            <w:r w:rsidR="001D4494" w:rsidRPr="00E04BE1">
              <w:rPr>
                <w:rFonts w:eastAsia="Times New Roman" w:cstheme="minorHAnsi"/>
                <w:sz w:val="20"/>
                <w:szCs w:val="20"/>
              </w:rPr>
              <w:t xml:space="preserve"> Social Services and Housing Complex Case Panel </w:t>
            </w:r>
            <w:r>
              <w:rPr>
                <w:rFonts w:eastAsia="Times New Roman" w:cstheme="minorHAnsi"/>
                <w:sz w:val="20"/>
                <w:szCs w:val="20"/>
              </w:rPr>
              <w:t xml:space="preserve">to discuss </w:t>
            </w:r>
            <w:r w:rsidR="001D4494" w:rsidRPr="00E04BE1">
              <w:rPr>
                <w:rFonts w:eastAsia="Times New Roman" w:cstheme="minorHAnsi"/>
                <w:sz w:val="20"/>
                <w:szCs w:val="20"/>
              </w:rPr>
              <w:t>complex cases</w:t>
            </w:r>
            <w:r>
              <w:rPr>
                <w:rFonts w:eastAsia="Times New Roman" w:cstheme="minorHAnsi"/>
                <w:sz w:val="20"/>
                <w:szCs w:val="20"/>
              </w:rPr>
              <w:t xml:space="preserve">. </w:t>
            </w:r>
          </w:p>
          <w:p w14:paraId="1D3E94DA" w14:textId="2B297370"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1529" w:type="dxa"/>
          </w:tcPr>
          <w:p w14:paraId="04E13196" w14:textId="77777777" w:rsidR="001D4494" w:rsidRPr="00E04BE1" w:rsidRDefault="001D4494" w:rsidP="003B0D38">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Housing/ RBG </w:t>
            </w:r>
          </w:p>
        </w:tc>
        <w:tc>
          <w:tcPr>
            <w:tcW w:w="1205" w:type="dxa"/>
          </w:tcPr>
          <w:p w14:paraId="4E37F86B" w14:textId="11B126B5" w:rsidR="001D4494" w:rsidRPr="00E04BE1" w:rsidRDefault="001D4494" w:rsidP="003B0D38">
            <w:pPr>
              <w:pStyle w:val="Heading1"/>
              <w:spacing w:before="1"/>
              <w:ind w:left="0"/>
              <w:rPr>
                <w:rFonts w:asciiTheme="minorHAnsi" w:hAnsiTheme="minorHAnsi" w:cstheme="minorHAnsi"/>
                <w:b w:val="0"/>
                <w:bCs w:val="0"/>
                <w:sz w:val="20"/>
                <w:szCs w:val="20"/>
              </w:rPr>
            </w:pPr>
          </w:p>
        </w:tc>
        <w:tc>
          <w:tcPr>
            <w:tcW w:w="766" w:type="dxa"/>
            <w:shd w:val="clear" w:color="auto" w:fill="FFC000"/>
          </w:tcPr>
          <w:p w14:paraId="54421229" w14:textId="2877D6CB" w:rsidR="001D4494" w:rsidRPr="00E04BE1" w:rsidRDefault="00AA4AF9" w:rsidP="003B0D38">
            <w:pPr>
              <w:pStyle w:val="Heading1"/>
              <w:spacing w:before="1"/>
              <w:ind w:left="0"/>
              <w:rPr>
                <w:rFonts w:asciiTheme="minorHAnsi" w:hAnsiTheme="minorHAnsi" w:cstheme="minorHAnsi"/>
                <w:b w:val="0"/>
                <w:bCs w:val="0"/>
                <w:sz w:val="20"/>
                <w:szCs w:val="20"/>
              </w:rPr>
            </w:pPr>
            <w:r w:rsidRPr="00AA4AF9">
              <w:rPr>
                <w:rFonts w:asciiTheme="minorHAnsi" w:hAnsiTheme="minorHAnsi" w:cstheme="minorHAnsi"/>
                <w:b w:val="0"/>
                <w:bCs w:val="0"/>
                <w:sz w:val="20"/>
                <w:szCs w:val="20"/>
                <w:shd w:val="clear" w:color="auto" w:fill="FFC000"/>
              </w:rPr>
              <w:t xml:space="preserve">Amber </w:t>
            </w:r>
            <w:r w:rsidR="001D4494" w:rsidRPr="00E04BE1">
              <w:rPr>
                <w:rFonts w:asciiTheme="minorHAnsi" w:hAnsiTheme="minorHAnsi" w:cstheme="minorHAnsi"/>
                <w:b w:val="0"/>
                <w:bCs w:val="0"/>
                <w:sz w:val="20"/>
                <w:szCs w:val="20"/>
              </w:rPr>
              <w:t xml:space="preserve"> </w:t>
            </w:r>
          </w:p>
        </w:tc>
        <w:tc>
          <w:tcPr>
            <w:tcW w:w="3587" w:type="dxa"/>
          </w:tcPr>
          <w:p w14:paraId="4A463BAE" w14:textId="77777777" w:rsidR="00AA4AF9" w:rsidRPr="00AA4AF9" w:rsidRDefault="00AA4AF9" w:rsidP="00DD2249">
            <w:pPr>
              <w:rPr>
                <w:sz w:val="20"/>
                <w:szCs w:val="20"/>
              </w:rPr>
            </w:pPr>
            <w:r w:rsidRPr="00AA4AF9">
              <w:rPr>
                <w:sz w:val="20"/>
                <w:szCs w:val="20"/>
              </w:rPr>
              <w:t xml:space="preserve">A housing </w:t>
            </w:r>
            <w:r w:rsidR="00DD2249" w:rsidRPr="00AA4AF9">
              <w:rPr>
                <w:sz w:val="20"/>
                <w:szCs w:val="20"/>
              </w:rPr>
              <w:t>panel is</w:t>
            </w:r>
            <w:r w:rsidRPr="00AA4AF9">
              <w:rPr>
                <w:sz w:val="20"/>
                <w:szCs w:val="20"/>
              </w:rPr>
              <w:t xml:space="preserve"> in place</w:t>
            </w:r>
            <w:r w:rsidR="00DD2249" w:rsidRPr="00AA4AF9">
              <w:rPr>
                <w:sz w:val="20"/>
                <w:szCs w:val="20"/>
              </w:rPr>
              <w:t xml:space="preserve"> and works by either housing or social services bringing complex cases to </w:t>
            </w:r>
            <w:r w:rsidRPr="00AA4AF9">
              <w:rPr>
                <w:sz w:val="20"/>
                <w:szCs w:val="20"/>
              </w:rPr>
              <w:t xml:space="preserve">be </w:t>
            </w:r>
            <w:r w:rsidR="00DD2249" w:rsidRPr="00AA4AF9">
              <w:rPr>
                <w:sz w:val="20"/>
                <w:szCs w:val="20"/>
              </w:rPr>
              <w:t>discuss</w:t>
            </w:r>
            <w:r w:rsidRPr="00AA4AF9">
              <w:rPr>
                <w:sz w:val="20"/>
                <w:szCs w:val="20"/>
              </w:rPr>
              <w:t>ed</w:t>
            </w:r>
            <w:r w:rsidR="00DD2249" w:rsidRPr="00AA4AF9">
              <w:rPr>
                <w:sz w:val="20"/>
                <w:szCs w:val="20"/>
              </w:rPr>
              <w:t xml:space="preserve"> and agree a way forward. </w:t>
            </w:r>
          </w:p>
          <w:p w14:paraId="6EAF94EB" w14:textId="77777777" w:rsidR="00AA4AF9" w:rsidRPr="00AA4AF9" w:rsidRDefault="00AA4AF9" w:rsidP="00DD2249">
            <w:pPr>
              <w:rPr>
                <w:sz w:val="20"/>
                <w:szCs w:val="20"/>
              </w:rPr>
            </w:pPr>
          </w:p>
          <w:p w14:paraId="107C7523" w14:textId="6BE264FD" w:rsidR="00DD2249" w:rsidRPr="00AA4AF9" w:rsidRDefault="00DD2249" w:rsidP="00DD2249">
            <w:pPr>
              <w:rPr>
                <w:sz w:val="20"/>
                <w:szCs w:val="20"/>
              </w:rPr>
            </w:pPr>
            <w:r w:rsidRPr="00AA4AF9">
              <w:rPr>
                <w:sz w:val="20"/>
                <w:szCs w:val="20"/>
              </w:rPr>
              <w:t xml:space="preserve">A protocol has not been developed </w:t>
            </w:r>
            <w:r w:rsidR="00AA4AF9" w:rsidRPr="00AA4AF9">
              <w:rPr>
                <w:sz w:val="20"/>
                <w:szCs w:val="20"/>
              </w:rPr>
              <w:t xml:space="preserve">– Housing colleagues to raise this. </w:t>
            </w:r>
          </w:p>
          <w:p w14:paraId="1B89F6C3" w14:textId="77777777" w:rsidR="001D4494" w:rsidRPr="00E04BE1" w:rsidRDefault="001D4494" w:rsidP="003B0D38">
            <w:pPr>
              <w:pStyle w:val="Heading1"/>
              <w:spacing w:before="1"/>
              <w:ind w:left="0"/>
              <w:rPr>
                <w:rFonts w:asciiTheme="minorHAnsi" w:hAnsiTheme="minorHAnsi" w:cstheme="minorHAnsi"/>
                <w:b w:val="0"/>
                <w:bCs w:val="0"/>
                <w:sz w:val="20"/>
                <w:szCs w:val="20"/>
              </w:rPr>
            </w:pPr>
          </w:p>
        </w:tc>
      </w:tr>
      <w:tr w:rsidR="001D4494" w:rsidRPr="00E04BE1" w14:paraId="13F3B75A" w14:textId="16CC6751" w:rsidTr="00257AC6">
        <w:tc>
          <w:tcPr>
            <w:tcW w:w="945" w:type="dxa"/>
            <w:vMerge/>
          </w:tcPr>
          <w:p w14:paraId="239C3B8D" w14:textId="77777777" w:rsidR="001D4494" w:rsidRPr="00E04BE1" w:rsidRDefault="001D4494" w:rsidP="003B0D38">
            <w:pPr>
              <w:pStyle w:val="Heading1"/>
              <w:spacing w:before="1"/>
              <w:ind w:left="0"/>
              <w:rPr>
                <w:rFonts w:asciiTheme="minorHAnsi" w:hAnsiTheme="minorHAnsi" w:cstheme="minorHAnsi"/>
                <w:b w:val="0"/>
                <w:bCs w:val="0"/>
                <w:sz w:val="20"/>
                <w:szCs w:val="20"/>
              </w:rPr>
            </w:pPr>
          </w:p>
        </w:tc>
        <w:tc>
          <w:tcPr>
            <w:tcW w:w="3625" w:type="dxa"/>
          </w:tcPr>
          <w:p w14:paraId="3BA5609F" w14:textId="77777777" w:rsidR="001D4494" w:rsidRPr="00E04BE1" w:rsidRDefault="001D4494" w:rsidP="003B0D38">
            <w:pPr>
              <w:tabs>
                <w:tab w:val="left" w:pos="830"/>
              </w:tabs>
              <w:jc w:val="both"/>
              <w:rPr>
                <w:rFonts w:cstheme="minorHAnsi"/>
                <w:sz w:val="20"/>
                <w:szCs w:val="20"/>
              </w:rPr>
            </w:pPr>
            <w:r w:rsidRPr="00E04BE1">
              <w:rPr>
                <w:rFonts w:cstheme="minorHAnsi"/>
                <w:sz w:val="20"/>
                <w:szCs w:val="20"/>
              </w:rPr>
              <w:t>To also identify those adults who are unable to bid for alternative accommodation and ensure their representative is included in any correspondence about offers of re-housing.</w:t>
            </w:r>
          </w:p>
        </w:tc>
        <w:tc>
          <w:tcPr>
            <w:tcW w:w="3794" w:type="dxa"/>
          </w:tcPr>
          <w:p w14:paraId="527889C7" w14:textId="638FD184" w:rsidR="001D4494" w:rsidRPr="00E04BE1" w:rsidRDefault="001D4494" w:rsidP="003B0D38">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Allocations </w:t>
            </w:r>
            <w:r w:rsidR="00AA4AF9">
              <w:rPr>
                <w:rFonts w:asciiTheme="minorHAnsi" w:hAnsiTheme="minorHAnsi" w:cstheme="minorHAnsi"/>
                <w:b w:val="0"/>
                <w:bCs w:val="0"/>
                <w:sz w:val="20"/>
                <w:szCs w:val="20"/>
              </w:rPr>
              <w:t xml:space="preserve">to </w:t>
            </w:r>
            <w:r w:rsidRPr="00E04BE1">
              <w:rPr>
                <w:rFonts w:asciiTheme="minorHAnsi" w:hAnsiTheme="minorHAnsi" w:cstheme="minorHAnsi"/>
                <w:b w:val="0"/>
                <w:bCs w:val="0"/>
                <w:sz w:val="20"/>
                <w:szCs w:val="20"/>
              </w:rPr>
              <w:t xml:space="preserve">publicise offer with assistance with bidding if required in a </w:t>
            </w:r>
            <w:proofErr w:type="gramStart"/>
            <w:r w:rsidRPr="00E04BE1">
              <w:rPr>
                <w:rFonts w:asciiTheme="minorHAnsi" w:hAnsiTheme="minorHAnsi" w:cstheme="minorHAnsi"/>
                <w:b w:val="0"/>
                <w:bCs w:val="0"/>
                <w:sz w:val="20"/>
                <w:szCs w:val="20"/>
              </w:rPr>
              <w:t>choice based</w:t>
            </w:r>
            <w:proofErr w:type="gramEnd"/>
            <w:r w:rsidRPr="00E04BE1">
              <w:rPr>
                <w:rFonts w:asciiTheme="minorHAnsi" w:hAnsiTheme="minorHAnsi" w:cstheme="minorHAnsi"/>
                <w:b w:val="0"/>
                <w:bCs w:val="0"/>
                <w:sz w:val="20"/>
                <w:szCs w:val="20"/>
              </w:rPr>
              <w:t xml:space="preserve"> lettings advert.  </w:t>
            </w:r>
          </w:p>
        </w:tc>
        <w:tc>
          <w:tcPr>
            <w:tcW w:w="1529" w:type="dxa"/>
          </w:tcPr>
          <w:p w14:paraId="754A8536" w14:textId="1150938B" w:rsidR="001D4494" w:rsidRPr="00E04BE1" w:rsidRDefault="001D4494" w:rsidP="003B0D38">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Housing allocations </w:t>
            </w:r>
          </w:p>
        </w:tc>
        <w:tc>
          <w:tcPr>
            <w:tcW w:w="1205" w:type="dxa"/>
          </w:tcPr>
          <w:p w14:paraId="46E5545D" w14:textId="77850B56" w:rsidR="001D4494" w:rsidRPr="00E04BE1" w:rsidRDefault="00AA4AF9" w:rsidP="003B0D38">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Complete </w:t>
            </w:r>
          </w:p>
        </w:tc>
        <w:tc>
          <w:tcPr>
            <w:tcW w:w="766" w:type="dxa"/>
            <w:shd w:val="clear" w:color="auto" w:fill="92D050"/>
          </w:tcPr>
          <w:p w14:paraId="66E2556A" w14:textId="71DDBF83" w:rsidR="001D4494" w:rsidRPr="00E04BE1" w:rsidRDefault="00AA4AF9" w:rsidP="003B0D38">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Green </w:t>
            </w:r>
          </w:p>
        </w:tc>
        <w:tc>
          <w:tcPr>
            <w:tcW w:w="3587" w:type="dxa"/>
          </w:tcPr>
          <w:p w14:paraId="3AA4450D" w14:textId="67A0EF4D" w:rsidR="001D4494" w:rsidRPr="00AA4AF9" w:rsidRDefault="00AA4AF9" w:rsidP="003B0D38">
            <w:pPr>
              <w:pStyle w:val="Heading1"/>
              <w:spacing w:before="1"/>
              <w:ind w:left="0"/>
              <w:rPr>
                <w:rFonts w:asciiTheme="minorHAnsi" w:hAnsiTheme="minorHAnsi" w:cstheme="minorHAnsi"/>
                <w:b w:val="0"/>
                <w:bCs w:val="0"/>
                <w:sz w:val="20"/>
                <w:szCs w:val="20"/>
              </w:rPr>
            </w:pPr>
            <w:r w:rsidRPr="00AA4AF9">
              <w:rPr>
                <w:rFonts w:asciiTheme="minorHAnsi" w:hAnsiTheme="minorHAnsi" w:cstheme="minorHAnsi"/>
                <w:b w:val="0"/>
                <w:bCs w:val="0"/>
                <w:sz w:val="20"/>
                <w:szCs w:val="20"/>
              </w:rPr>
              <w:t>In August 2021 this offer was publicised and w</w:t>
            </w:r>
            <w:r w:rsidR="00DD2249" w:rsidRPr="00AA4AF9">
              <w:rPr>
                <w:rFonts w:asciiTheme="minorHAnsi" w:hAnsiTheme="minorHAnsi" w:cstheme="minorHAnsi"/>
                <w:b w:val="0"/>
                <w:bCs w:val="0"/>
                <w:sz w:val="20"/>
                <w:szCs w:val="20"/>
              </w:rPr>
              <w:t xml:space="preserve">here, from the application for housing or other details provided the customer has advised housing they have someone acting on their behalf and has granted permission for us to copy them into any property offers, the team will do this. </w:t>
            </w:r>
          </w:p>
        </w:tc>
      </w:tr>
      <w:tr w:rsidR="001D4494" w:rsidRPr="00E04BE1" w14:paraId="5986414D" w14:textId="4AF9C728" w:rsidTr="00257AC6">
        <w:tc>
          <w:tcPr>
            <w:tcW w:w="945" w:type="dxa"/>
            <w:vMerge/>
          </w:tcPr>
          <w:p w14:paraId="07CDA422"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771E54CF" w14:textId="77777777" w:rsidR="001D4494" w:rsidRPr="00E04BE1" w:rsidRDefault="001D4494" w:rsidP="000C5D9F">
            <w:pPr>
              <w:tabs>
                <w:tab w:val="left" w:pos="830"/>
              </w:tabs>
              <w:jc w:val="both"/>
              <w:rPr>
                <w:rFonts w:cstheme="minorHAnsi"/>
                <w:sz w:val="20"/>
                <w:szCs w:val="20"/>
              </w:rPr>
            </w:pPr>
            <w:r w:rsidRPr="00E04BE1">
              <w:rPr>
                <w:rFonts w:cstheme="minorHAnsi"/>
                <w:sz w:val="20"/>
                <w:szCs w:val="20"/>
              </w:rPr>
              <w:t>Following a social care assessment that identifies an adult’s need to move, support and advocacy should be included as part of a subsequent Adult Services Care Plan to ensure that this is achieved.</w:t>
            </w:r>
          </w:p>
        </w:tc>
        <w:tc>
          <w:tcPr>
            <w:tcW w:w="3794" w:type="dxa"/>
          </w:tcPr>
          <w:p w14:paraId="61A88CB2" w14:textId="53FC2B22"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Mechanism </w:t>
            </w:r>
            <w:r w:rsidR="00AA4AF9">
              <w:rPr>
                <w:rFonts w:asciiTheme="minorHAnsi" w:hAnsiTheme="minorHAnsi" w:cstheme="minorHAnsi"/>
                <w:b w:val="0"/>
                <w:bCs w:val="0"/>
                <w:sz w:val="20"/>
                <w:szCs w:val="20"/>
              </w:rPr>
              <w:t>to be put in place</w:t>
            </w:r>
            <w:r w:rsidRPr="00E04BE1">
              <w:rPr>
                <w:rFonts w:asciiTheme="minorHAnsi" w:hAnsiTheme="minorHAnsi" w:cstheme="minorHAnsi"/>
                <w:b w:val="0"/>
                <w:bCs w:val="0"/>
                <w:sz w:val="20"/>
                <w:szCs w:val="20"/>
              </w:rPr>
              <w:t xml:space="preserve"> to record any issues </w:t>
            </w:r>
            <w:proofErr w:type="gramStart"/>
            <w:r w:rsidRPr="00E04BE1">
              <w:rPr>
                <w:rFonts w:asciiTheme="minorHAnsi" w:hAnsiTheme="minorHAnsi" w:cstheme="minorHAnsi"/>
                <w:b w:val="0"/>
                <w:bCs w:val="0"/>
                <w:sz w:val="20"/>
                <w:szCs w:val="20"/>
              </w:rPr>
              <w:t>I</w:t>
            </w:r>
            <w:r w:rsidR="00AA4AF9">
              <w:rPr>
                <w:rFonts w:asciiTheme="minorHAnsi" w:hAnsiTheme="minorHAnsi" w:cstheme="minorHAnsi"/>
                <w:b w:val="0"/>
                <w:bCs w:val="0"/>
                <w:sz w:val="20"/>
                <w:szCs w:val="20"/>
              </w:rPr>
              <w:t>n</w:t>
            </w:r>
            <w:proofErr w:type="gramEnd"/>
            <w:r w:rsidR="00AA4AF9">
              <w:rPr>
                <w:rFonts w:asciiTheme="minorHAnsi" w:hAnsiTheme="minorHAnsi" w:cstheme="minorHAnsi"/>
                <w:b w:val="0"/>
                <w:bCs w:val="0"/>
                <w:sz w:val="20"/>
                <w:szCs w:val="20"/>
              </w:rPr>
              <w:t xml:space="preserve"> </w:t>
            </w:r>
            <w:r w:rsidRPr="00E04BE1">
              <w:rPr>
                <w:rFonts w:asciiTheme="minorHAnsi" w:hAnsiTheme="minorHAnsi" w:cstheme="minorHAnsi"/>
                <w:b w:val="0"/>
                <w:bCs w:val="0"/>
                <w:sz w:val="20"/>
                <w:szCs w:val="20"/>
              </w:rPr>
              <w:t xml:space="preserve">relation to an adults need to move via the RBG recording system. </w:t>
            </w:r>
          </w:p>
        </w:tc>
        <w:tc>
          <w:tcPr>
            <w:tcW w:w="1529" w:type="dxa"/>
          </w:tcPr>
          <w:p w14:paraId="1A2A807A" w14:textId="393B01C9"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RBG </w:t>
            </w:r>
          </w:p>
        </w:tc>
        <w:tc>
          <w:tcPr>
            <w:tcW w:w="1205" w:type="dxa"/>
          </w:tcPr>
          <w:p w14:paraId="6B8F8CCD" w14:textId="3A2E14E8"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Complete </w:t>
            </w:r>
          </w:p>
        </w:tc>
        <w:tc>
          <w:tcPr>
            <w:tcW w:w="766" w:type="dxa"/>
            <w:shd w:val="clear" w:color="auto" w:fill="92D050"/>
          </w:tcPr>
          <w:p w14:paraId="7D19956C" w14:textId="0CA862B2"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Green</w:t>
            </w:r>
          </w:p>
        </w:tc>
        <w:tc>
          <w:tcPr>
            <w:tcW w:w="3587" w:type="dxa"/>
          </w:tcPr>
          <w:p w14:paraId="6B5A35A7" w14:textId="11109613" w:rsidR="001D4494" w:rsidRPr="00AA4AF9" w:rsidRDefault="00AA4AF9" w:rsidP="000C5D9F">
            <w:pPr>
              <w:pStyle w:val="Heading1"/>
              <w:spacing w:before="1"/>
              <w:ind w:left="0"/>
              <w:rPr>
                <w:rFonts w:asciiTheme="minorHAnsi" w:hAnsiTheme="minorHAnsi" w:cstheme="minorHAnsi"/>
                <w:b w:val="0"/>
                <w:bCs w:val="0"/>
                <w:sz w:val="20"/>
                <w:szCs w:val="20"/>
              </w:rPr>
            </w:pPr>
            <w:r w:rsidRPr="00AA4AF9">
              <w:rPr>
                <w:rFonts w:asciiTheme="minorHAnsi" w:hAnsiTheme="minorHAnsi" w:cstheme="minorHAnsi"/>
                <w:b w:val="0"/>
                <w:bCs w:val="0"/>
                <w:sz w:val="20"/>
                <w:szCs w:val="20"/>
              </w:rPr>
              <w:t xml:space="preserve">This is now recorded as part pf the assessment form on Mosaic. </w:t>
            </w:r>
          </w:p>
        </w:tc>
      </w:tr>
      <w:tr w:rsidR="00AA4AF9" w:rsidRPr="00E04BE1" w14:paraId="10C9F47D" w14:textId="7EC925A0" w:rsidTr="00257AC6">
        <w:tc>
          <w:tcPr>
            <w:tcW w:w="945" w:type="dxa"/>
            <w:vMerge w:val="restart"/>
            <w:shd w:val="clear" w:color="auto" w:fill="auto"/>
          </w:tcPr>
          <w:p w14:paraId="0E840490"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2</w:t>
            </w:r>
          </w:p>
        </w:tc>
        <w:tc>
          <w:tcPr>
            <w:tcW w:w="3625" w:type="dxa"/>
            <w:shd w:val="clear" w:color="auto" w:fill="auto"/>
          </w:tcPr>
          <w:p w14:paraId="79AFB6C4"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CCG to ensure that Primary Care Services thoroughly review all patients with epilepsy, at least annually. This should include use of the annual review template, as recommended by the epilepsy society</w:t>
            </w:r>
            <w:r w:rsidRPr="00E04BE1">
              <w:rPr>
                <w:rStyle w:val="FootnoteReference"/>
                <w:rFonts w:asciiTheme="minorHAnsi" w:hAnsiTheme="minorHAnsi" w:cstheme="minorHAnsi"/>
                <w:b w:val="0"/>
                <w:bCs w:val="0"/>
                <w:sz w:val="20"/>
                <w:szCs w:val="20"/>
              </w:rPr>
              <w:footnoteReference w:id="1"/>
            </w:r>
            <w:r w:rsidRPr="00E04BE1">
              <w:rPr>
                <w:rFonts w:asciiTheme="minorHAnsi" w:hAnsiTheme="minorHAnsi" w:cstheme="minorHAnsi"/>
                <w:b w:val="0"/>
                <w:bCs w:val="0"/>
                <w:sz w:val="20"/>
                <w:szCs w:val="20"/>
              </w:rPr>
              <w:t xml:space="preserve">. </w:t>
            </w:r>
          </w:p>
        </w:tc>
        <w:tc>
          <w:tcPr>
            <w:tcW w:w="3794" w:type="dxa"/>
            <w:shd w:val="clear" w:color="auto" w:fill="auto"/>
          </w:tcPr>
          <w:p w14:paraId="0D674729" w14:textId="066C6C46"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Quality and Outcomes Framework (QOF): indicator EP001 </w:t>
            </w:r>
            <w:r w:rsidRPr="00E04BE1">
              <w:rPr>
                <w:rFonts w:asciiTheme="minorHAnsi" w:hAnsiTheme="minorHAnsi" w:cstheme="minorHAnsi"/>
                <w:b w:val="0"/>
                <w:bCs w:val="0"/>
                <w:i/>
                <w:iCs/>
                <w:sz w:val="20"/>
                <w:szCs w:val="20"/>
              </w:rPr>
              <w:t>“The contractor establishes and maintains a register of patients aged 18 years or over receiving drug treatment for epilepsy”</w:t>
            </w:r>
            <w:r w:rsidRPr="00E04BE1">
              <w:rPr>
                <w:rFonts w:asciiTheme="minorHAnsi" w:hAnsiTheme="minorHAnsi" w:cstheme="minorHAnsi"/>
                <w:b w:val="0"/>
                <w:bCs w:val="0"/>
                <w:sz w:val="20"/>
                <w:szCs w:val="20"/>
              </w:rPr>
              <w:t xml:space="preserve"> Liaise with primary care commissioning team to understand compliance with this indicator across Greenwich GP practices.</w:t>
            </w:r>
          </w:p>
          <w:p w14:paraId="4DCFDE52" w14:textId="3A90C4AF" w:rsidR="00AA4AF9" w:rsidRPr="00E04BE1" w:rsidRDefault="00AA4AF9" w:rsidP="000C5D9F">
            <w:pPr>
              <w:pStyle w:val="Heading1"/>
              <w:spacing w:before="1"/>
              <w:ind w:left="0"/>
              <w:rPr>
                <w:rFonts w:asciiTheme="minorHAnsi" w:hAnsiTheme="minorHAnsi" w:cstheme="minorHAnsi"/>
                <w:b w:val="0"/>
                <w:bCs w:val="0"/>
                <w:sz w:val="20"/>
                <w:szCs w:val="20"/>
              </w:rPr>
            </w:pPr>
          </w:p>
          <w:p w14:paraId="6CA9DD86" w14:textId="175D3795"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NICE guidance for epilepsy includes </w:t>
            </w:r>
            <w:proofErr w:type="gramStart"/>
            <w:r w:rsidRPr="00E04BE1">
              <w:rPr>
                <w:rFonts w:asciiTheme="minorHAnsi" w:hAnsiTheme="minorHAnsi" w:cstheme="minorHAnsi"/>
                <w:b w:val="0"/>
                <w:bCs w:val="0"/>
                <w:sz w:val="20"/>
                <w:szCs w:val="20"/>
              </w:rPr>
              <w:t>a number of</w:t>
            </w:r>
            <w:proofErr w:type="gramEnd"/>
            <w:r w:rsidRPr="00E04BE1">
              <w:rPr>
                <w:rFonts w:asciiTheme="minorHAnsi" w:hAnsiTheme="minorHAnsi" w:cstheme="minorHAnsi"/>
                <w:b w:val="0"/>
                <w:bCs w:val="0"/>
                <w:sz w:val="20"/>
                <w:szCs w:val="20"/>
              </w:rPr>
              <w:t xml:space="preserve"> quality statements. Quality </w:t>
            </w:r>
            <w:r w:rsidRPr="00E04BE1">
              <w:rPr>
                <w:rFonts w:asciiTheme="minorHAnsi" w:hAnsiTheme="minorHAnsi" w:cstheme="minorHAnsi"/>
                <w:b w:val="0"/>
                <w:bCs w:val="0"/>
                <w:sz w:val="20"/>
                <w:szCs w:val="20"/>
              </w:rPr>
              <w:lastRenderedPageBreak/>
              <w:t>statement 4: “</w:t>
            </w:r>
            <w:r w:rsidRPr="00E04BE1">
              <w:rPr>
                <w:rFonts w:asciiTheme="minorHAnsi" w:hAnsiTheme="minorHAnsi" w:cstheme="minorHAnsi"/>
                <w:b w:val="0"/>
                <w:bCs w:val="0"/>
                <w:i/>
                <w:iCs/>
                <w:sz w:val="20"/>
                <w:szCs w:val="20"/>
              </w:rPr>
              <w:t>Epilepsy care plan: Adults with epilepsy have an agreed and comprehensive written epilepsy care plan.”</w:t>
            </w:r>
            <w:r w:rsidRPr="00E04BE1">
              <w:rPr>
                <w:rFonts w:asciiTheme="minorHAnsi" w:hAnsiTheme="minorHAnsi" w:cstheme="minorHAnsi"/>
                <w:b w:val="0"/>
                <w:bCs w:val="0"/>
                <w:sz w:val="20"/>
                <w:szCs w:val="20"/>
              </w:rPr>
              <w:t xml:space="preserve"> Ensure that GPs are aware of this requirement through briefings, newsletters and training opportunities.</w:t>
            </w:r>
          </w:p>
          <w:p w14:paraId="6E2A0380" w14:textId="5CD5446D" w:rsidR="00AA4AF9" w:rsidRPr="00E04BE1" w:rsidRDefault="00AA4AF9" w:rsidP="000C5D9F">
            <w:pPr>
              <w:pStyle w:val="Heading1"/>
              <w:spacing w:before="1"/>
              <w:ind w:left="0"/>
              <w:rPr>
                <w:rFonts w:asciiTheme="minorHAnsi" w:hAnsiTheme="minorHAnsi" w:cstheme="minorHAnsi"/>
                <w:b w:val="0"/>
                <w:bCs w:val="0"/>
                <w:sz w:val="20"/>
                <w:szCs w:val="20"/>
              </w:rPr>
            </w:pPr>
          </w:p>
          <w:p w14:paraId="7CAEFE68" w14:textId="1D59BDC2"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Presentation at GP adult safeguarding forum on 8</w:t>
            </w:r>
            <w:r w:rsidRPr="00E04BE1">
              <w:rPr>
                <w:rFonts w:asciiTheme="minorHAnsi" w:hAnsiTheme="minorHAnsi" w:cstheme="minorHAnsi"/>
                <w:b w:val="0"/>
                <w:bCs w:val="0"/>
                <w:sz w:val="20"/>
                <w:szCs w:val="20"/>
                <w:vertAlign w:val="superscript"/>
              </w:rPr>
              <w:t>th</w:t>
            </w:r>
            <w:r w:rsidRPr="00E04BE1">
              <w:rPr>
                <w:rFonts w:asciiTheme="minorHAnsi" w:hAnsiTheme="minorHAnsi" w:cstheme="minorHAnsi"/>
                <w:b w:val="0"/>
                <w:bCs w:val="0"/>
                <w:sz w:val="20"/>
                <w:szCs w:val="20"/>
              </w:rPr>
              <w:t xml:space="preserve"> July</w:t>
            </w:r>
          </w:p>
          <w:p w14:paraId="37419E04" w14:textId="6B57CA4E" w:rsidR="00AA4AF9" w:rsidRPr="00E04BE1" w:rsidRDefault="00AA4AF9" w:rsidP="000C5D9F">
            <w:pPr>
              <w:pStyle w:val="Heading1"/>
              <w:spacing w:before="1"/>
              <w:ind w:left="0"/>
              <w:rPr>
                <w:rFonts w:asciiTheme="minorHAnsi" w:hAnsiTheme="minorHAnsi" w:cstheme="minorHAnsi"/>
                <w:b w:val="0"/>
                <w:bCs w:val="0"/>
                <w:sz w:val="20"/>
                <w:szCs w:val="20"/>
              </w:rPr>
            </w:pPr>
          </w:p>
          <w:p w14:paraId="21F8FDC9" w14:textId="4B197B15"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Disseminate and encourage the use of the annual review template as recommended by the epilepsy </w:t>
            </w:r>
            <w:proofErr w:type="gramStart"/>
            <w:r w:rsidRPr="00E04BE1">
              <w:rPr>
                <w:rFonts w:asciiTheme="minorHAnsi" w:hAnsiTheme="minorHAnsi" w:cstheme="minorHAnsi"/>
                <w:b w:val="0"/>
                <w:bCs w:val="0"/>
                <w:sz w:val="20"/>
                <w:szCs w:val="20"/>
              </w:rPr>
              <w:t>society</w:t>
            </w:r>
            <w:proofErr w:type="gramEnd"/>
          </w:p>
          <w:p w14:paraId="65036EB8" w14:textId="360B5ADF"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1529" w:type="dxa"/>
            <w:shd w:val="clear" w:color="auto" w:fill="auto"/>
          </w:tcPr>
          <w:p w14:paraId="4FBB69E0" w14:textId="5CF44D61"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 xml:space="preserve">CCG: Designated Nurse &amp; Named GP for Adult Safeguarding </w:t>
            </w:r>
          </w:p>
        </w:tc>
        <w:tc>
          <w:tcPr>
            <w:tcW w:w="1205" w:type="dxa"/>
            <w:shd w:val="clear" w:color="auto" w:fill="auto"/>
          </w:tcPr>
          <w:p w14:paraId="63D998D4" w14:textId="167EF721"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2DC8F0C8"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3587" w:type="dxa"/>
          </w:tcPr>
          <w:p w14:paraId="05B562F0"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r>
      <w:tr w:rsidR="00AA4AF9" w:rsidRPr="00E04BE1" w14:paraId="56A09268" w14:textId="1AA155C0" w:rsidTr="00257AC6">
        <w:tc>
          <w:tcPr>
            <w:tcW w:w="945" w:type="dxa"/>
            <w:vMerge/>
          </w:tcPr>
          <w:p w14:paraId="2EB50BFE"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3625" w:type="dxa"/>
            <w:shd w:val="clear" w:color="auto" w:fill="auto"/>
          </w:tcPr>
          <w:p w14:paraId="7299EC08"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the review identifies issues with management of the condition the patient is referred to specialist secondary services for further assessment.</w:t>
            </w:r>
          </w:p>
        </w:tc>
        <w:tc>
          <w:tcPr>
            <w:tcW w:w="3794" w:type="dxa"/>
            <w:shd w:val="clear" w:color="auto" w:fill="auto"/>
          </w:tcPr>
          <w:p w14:paraId="7B40FCF2" w14:textId="77777777" w:rsidR="00AA4AF9" w:rsidRPr="00E04BE1" w:rsidRDefault="00AA4AF9" w:rsidP="000C5D9F">
            <w:pPr>
              <w:pStyle w:val="Heading1"/>
              <w:spacing w:before="1"/>
              <w:ind w:left="0"/>
              <w:rPr>
                <w:rFonts w:asciiTheme="minorHAnsi" w:hAnsiTheme="minorHAnsi" w:cstheme="minorHAnsi"/>
                <w:b w:val="0"/>
                <w:bCs w:val="0"/>
                <w:i/>
                <w:iCs/>
                <w:sz w:val="20"/>
                <w:szCs w:val="20"/>
              </w:rPr>
            </w:pPr>
            <w:r w:rsidRPr="00E04BE1">
              <w:rPr>
                <w:rFonts w:asciiTheme="minorHAnsi" w:hAnsiTheme="minorHAnsi" w:cstheme="minorHAnsi"/>
                <w:b w:val="0"/>
                <w:bCs w:val="0"/>
                <w:sz w:val="20"/>
                <w:szCs w:val="20"/>
              </w:rPr>
              <w:t>NICE Quality statement 8: “</w:t>
            </w:r>
            <w:r w:rsidRPr="00E04BE1">
              <w:rPr>
                <w:rFonts w:asciiTheme="minorHAnsi" w:hAnsiTheme="minorHAnsi" w:cstheme="minorHAnsi"/>
                <w:b w:val="0"/>
                <w:bCs w:val="0"/>
                <w:i/>
                <w:iCs/>
                <w:sz w:val="20"/>
                <w:szCs w:val="20"/>
              </w:rPr>
              <w:t xml:space="preserve">Re-access to specialist care: Adults with epilepsy who have medical or lifestyle issues that need review are referred to specialist epilepsy services.” </w:t>
            </w:r>
          </w:p>
          <w:p w14:paraId="0DB9BC53" w14:textId="77777777" w:rsidR="00AA4AF9" w:rsidRPr="00E04BE1" w:rsidRDefault="00AA4AF9" w:rsidP="000C5D9F">
            <w:pPr>
              <w:pStyle w:val="Heading1"/>
              <w:spacing w:before="1"/>
              <w:ind w:left="0"/>
              <w:rPr>
                <w:rFonts w:asciiTheme="minorHAnsi" w:hAnsiTheme="minorHAnsi" w:cstheme="minorHAnsi"/>
                <w:b w:val="0"/>
                <w:bCs w:val="0"/>
                <w:i/>
                <w:iCs/>
                <w:sz w:val="20"/>
                <w:szCs w:val="20"/>
              </w:rPr>
            </w:pPr>
          </w:p>
          <w:p w14:paraId="09C09497" w14:textId="5BE91CED"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Ensure that GPs are aware of this quality statement through briefings, newsletters and training opportunities.</w:t>
            </w:r>
          </w:p>
          <w:p w14:paraId="3C110E37" w14:textId="77777777" w:rsidR="00AA4AF9" w:rsidRPr="00E04BE1" w:rsidRDefault="00AA4AF9" w:rsidP="000C5D9F">
            <w:pPr>
              <w:pStyle w:val="Heading1"/>
              <w:spacing w:before="1"/>
              <w:ind w:left="0"/>
              <w:rPr>
                <w:rFonts w:asciiTheme="minorHAnsi" w:hAnsiTheme="minorHAnsi" w:cstheme="minorHAnsi"/>
                <w:b w:val="0"/>
                <w:bCs w:val="0"/>
                <w:sz w:val="20"/>
                <w:szCs w:val="20"/>
              </w:rPr>
            </w:pPr>
          </w:p>
          <w:p w14:paraId="755B3802"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Presentation at GP adult safeguarding forum on 8</w:t>
            </w:r>
            <w:r w:rsidRPr="00E04BE1">
              <w:rPr>
                <w:rFonts w:asciiTheme="minorHAnsi" w:hAnsiTheme="minorHAnsi" w:cstheme="minorHAnsi"/>
                <w:b w:val="0"/>
                <w:bCs w:val="0"/>
                <w:sz w:val="20"/>
                <w:szCs w:val="20"/>
                <w:vertAlign w:val="superscript"/>
              </w:rPr>
              <w:t>th</w:t>
            </w:r>
            <w:r w:rsidRPr="00E04BE1">
              <w:rPr>
                <w:rFonts w:asciiTheme="minorHAnsi" w:hAnsiTheme="minorHAnsi" w:cstheme="minorHAnsi"/>
                <w:b w:val="0"/>
                <w:bCs w:val="0"/>
                <w:sz w:val="20"/>
                <w:szCs w:val="20"/>
              </w:rPr>
              <w:t xml:space="preserve"> July</w:t>
            </w:r>
          </w:p>
          <w:p w14:paraId="1600EA2B" w14:textId="0734C016"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1529" w:type="dxa"/>
            <w:shd w:val="clear" w:color="auto" w:fill="auto"/>
          </w:tcPr>
          <w:p w14:paraId="3C241F74" w14:textId="03A9EC88"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CCG: Designated Nurse &amp; Named GP for Adult Safeguarding</w:t>
            </w:r>
          </w:p>
        </w:tc>
        <w:tc>
          <w:tcPr>
            <w:tcW w:w="1205" w:type="dxa"/>
            <w:shd w:val="clear" w:color="auto" w:fill="auto"/>
          </w:tcPr>
          <w:p w14:paraId="50D788F2" w14:textId="3D640EAA"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77AD83A7"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3587" w:type="dxa"/>
          </w:tcPr>
          <w:p w14:paraId="3A6361F2"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r>
      <w:tr w:rsidR="00257AC6" w:rsidRPr="00E04BE1" w14:paraId="462018C6" w14:textId="11B1476D" w:rsidTr="00257AC6">
        <w:trPr>
          <w:trHeight w:val="1225"/>
        </w:trPr>
        <w:tc>
          <w:tcPr>
            <w:tcW w:w="945" w:type="dxa"/>
            <w:vMerge/>
          </w:tcPr>
          <w:p w14:paraId="691D799E"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3625" w:type="dxa"/>
            <w:vMerge w:val="restart"/>
          </w:tcPr>
          <w:p w14:paraId="2ACF9A6F" w14:textId="77777777" w:rsidR="00257AC6" w:rsidRPr="00E04BE1" w:rsidRDefault="00257AC6"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social care services or family members are aware that patients are not able/willing to self-medicate, this prompts an unscheduled and multi-agency review of their case.</w:t>
            </w:r>
          </w:p>
        </w:tc>
        <w:tc>
          <w:tcPr>
            <w:tcW w:w="3794" w:type="dxa"/>
          </w:tcPr>
          <w:p w14:paraId="79646DB6" w14:textId="20CD1074" w:rsidR="00257AC6" w:rsidRPr="00E04BE1" w:rsidRDefault="00257AC6" w:rsidP="00257AC6">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Ensure there is a process in place for care agencies to alert RBG to review medication changes. </w:t>
            </w:r>
          </w:p>
        </w:tc>
        <w:tc>
          <w:tcPr>
            <w:tcW w:w="1529" w:type="dxa"/>
            <w:vMerge w:val="restart"/>
          </w:tcPr>
          <w:p w14:paraId="5E71B667" w14:textId="77777777" w:rsidR="00257AC6" w:rsidRDefault="00257AC6"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RBG</w:t>
            </w:r>
          </w:p>
          <w:p w14:paraId="101D6F82" w14:textId="77777777" w:rsidR="00257AC6" w:rsidRDefault="00257AC6" w:rsidP="000C5D9F">
            <w:pPr>
              <w:pStyle w:val="Heading1"/>
              <w:spacing w:before="1"/>
              <w:ind w:left="0"/>
              <w:rPr>
                <w:rFonts w:asciiTheme="minorHAnsi" w:hAnsiTheme="minorHAnsi" w:cstheme="minorHAnsi"/>
                <w:b w:val="0"/>
                <w:bCs w:val="0"/>
                <w:sz w:val="20"/>
                <w:szCs w:val="20"/>
              </w:rPr>
            </w:pPr>
          </w:p>
          <w:p w14:paraId="70B2DCF0" w14:textId="77777777" w:rsidR="00257AC6" w:rsidRDefault="00257AC6" w:rsidP="000C5D9F">
            <w:pPr>
              <w:pStyle w:val="Heading1"/>
              <w:spacing w:before="1"/>
              <w:ind w:left="0"/>
              <w:rPr>
                <w:rFonts w:asciiTheme="minorHAnsi" w:hAnsiTheme="minorHAnsi" w:cstheme="minorHAnsi"/>
                <w:b w:val="0"/>
                <w:bCs w:val="0"/>
                <w:sz w:val="20"/>
                <w:szCs w:val="20"/>
              </w:rPr>
            </w:pPr>
          </w:p>
          <w:p w14:paraId="6BFA55A0" w14:textId="77777777" w:rsidR="00257AC6" w:rsidRDefault="00257AC6" w:rsidP="000C5D9F">
            <w:pPr>
              <w:pStyle w:val="Heading1"/>
              <w:spacing w:before="1"/>
              <w:ind w:left="0"/>
              <w:rPr>
                <w:rFonts w:asciiTheme="minorHAnsi" w:hAnsiTheme="minorHAnsi" w:cstheme="minorHAnsi"/>
                <w:b w:val="0"/>
                <w:bCs w:val="0"/>
                <w:sz w:val="20"/>
                <w:szCs w:val="20"/>
              </w:rPr>
            </w:pPr>
          </w:p>
          <w:p w14:paraId="1CD1D3B5" w14:textId="1BF049C4" w:rsidR="00257AC6" w:rsidRPr="00E04BE1" w:rsidRDefault="00257AC6"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 xml:space="preserve">Direct Payments Commissioner </w:t>
            </w:r>
          </w:p>
        </w:tc>
        <w:tc>
          <w:tcPr>
            <w:tcW w:w="1205" w:type="dxa"/>
            <w:vMerge w:val="restart"/>
          </w:tcPr>
          <w:p w14:paraId="65952535" w14:textId="77777777" w:rsidR="00257AC6" w:rsidRDefault="00257AC6"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August 2021</w:t>
            </w:r>
          </w:p>
          <w:p w14:paraId="028CC67D" w14:textId="77777777" w:rsidR="00257AC6" w:rsidRDefault="00257AC6" w:rsidP="000C5D9F">
            <w:pPr>
              <w:pStyle w:val="Heading1"/>
              <w:spacing w:before="1"/>
              <w:ind w:left="0"/>
              <w:rPr>
                <w:rFonts w:asciiTheme="minorHAnsi" w:hAnsiTheme="minorHAnsi" w:cstheme="minorHAnsi"/>
                <w:b w:val="0"/>
                <w:bCs w:val="0"/>
                <w:sz w:val="20"/>
                <w:szCs w:val="20"/>
              </w:rPr>
            </w:pPr>
          </w:p>
          <w:p w14:paraId="4758B103" w14:textId="77777777" w:rsidR="00257AC6" w:rsidRDefault="00257AC6" w:rsidP="000C5D9F">
            <w:pPr>
              <w:pStyle w:val="Heading1"/>
              <w:spacing w:before="1"/>
              <w:ind w:left="0"/>
              <w:rPr>
                <w:rFonts w:asciiTheme="minorHAnsi" w:hAnsiTheme="minorHAnsi" w:cstheme="minorHAnsi"/>
                <w:b w:val="0"/>
                <w:bCs w:val="0"/>
                <w:sz w:val="20"/>
                <w:szCs w:val="20"/>
              </w:rPr>
            </w:pPr>
          </w:p>
          <w:p w14:paraId="4AD41688" w14:textId="77777777" w:rsidR="00257AC6" w:rsidRDefault="00257AC6" w:rsidP="000C5D9F">
            <w:pPr>
              <w:pStyle w:val="Heading1"/>
              <w:spacing w:before="1"/>
              <w:ind w:left="0"/>
              <w:rPr>
                <w:rFonts w:asciiTheme="minorHAnsi" w:hAnsiTheme="minorHAnsi" w:cstheme="minorHAnsi"/>
                <w:b w:val="0"/>
                <w:bCs w:val="0"/>
                <w:sz w:val="20"/>
                <w:szCs w:val="20"/>
              </w:rPr>
            </w:pPr>
          </w:p>
          <w:p w14:paraId="230FDEAC" w14:textId="77777777" w:rsidR="00257AC6" w:rsidRDefault="00257AC6" w:rsidP="000C5D9F">
            <w:pPr>
              <w:pStyle w:val="Heading1"/>
              <w:spacing w:before="1"/>
              <w:ind w:left="0"/>
              <w:rPr>
                <w:rFonts w:asciiTheme="minorHAnsi" w:hAnsiTheme="minorHAnsi" w:cstheme="minorHAnsi"/>
                <w:b w:val="0"/>
                <w:bCs w:val="0"/>
                <w:sz w:val="20"/>
                <w:szCs w:val="20"/>
              </w:rPr>
            </w:pPr>
          </w:p>
          <w:p w14:paraId="13A456AE" w14:textId="77777777" w:rsidR="00257AC6" w:rsidRDefault="00257AC6" w:rsidP="000C5D9F">
            <w:pPr>
              <w:pStyle w:val="Heading1"/>
              <w:spacing w:before="1"/>
              <w:ind w:left="0"/>
              <w:rPr>
                <w:rFonts w:asciiTheme="minorHAnsi" w:hAnsiTheme="minorHAnsi" w:cstheme="minorHAnsi"/>
                <w:b w:val="0"/>
                <w:bCs w:val="0"/>
                <w:sz w:val="20"/>
                <w:szCs w:val="20"/>
              </w:rPr>
            </w:pPr>
          </w:p>
          <w:p w14:paraId="38B39282" w14:textId="229E1ED7" w:rsidR="00257AC6" w:rsidRPr="00E04BE1" w:rsidRDefault="00257AC6"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June 2021</w:t>
            </w:r>
          </w:p>
        </w:tc>
        <w:tc>
          <w:tcPr>
            <w:tcW w:w="766" w:type="dxa"/>
            <w:vMerge w:val="restart"/>
            <w:shd w:val="clear" w:color="auto" w:fill="92D050"/>
          </w:tcPr>
          <w:p w14:paraId="095869F5" w14:textId="77777777" w:rsidR="00257AC6" w:rsidRDefault="00257AC6"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Amber</w:t>
            </w:r>
          </w:p>
          <w:p w14:paraId="45DDA66C" w14:textId="77777777" w:rsidR="00257AC6" w:rsidRDefault="00257AC6" w:rsidP="000C5D9F">
            <w:pPr>
              <w:pStyle w:val="Heading1"/>
              <w:spacing w:before="1"/>
              <w:ind w:left="0"/>
              <w:rPr>
                <w:rFonts w:asciiTheme="minorHAnsi" w:hAnsiTheme="minorHAnsi" w:cstheme="minorHAnsi"/>
                <w:b w:val="0"/>
                <w:bCs w:val="0"/>
                <w:sz w:val="20"/>
                <w:szCs w:val="20"/>
              </w:rPr>
            </w:pPr>
          </w:p>
          <w:p w14:paraId="1DF17548" w14:textId="77777777" w:rsidR="00257AC6" w:rsidRDefault="00257AC6" w:rsidP="000C5D9F">
            <w:pPr>
              <w:pStyle w:val="Heading1"/>
              <w:spacing w:before="1"/>
              <w:ind w:left="0"/>
              <w:rPr>
                <w:rFonts w:asciiTheme="minorHAnsi" w:hAnsiTheme="minorHAnsi" w:cstheme="minorHAnsi"/>
                <w:b w:val="0"/>
                <w:bCs w:val="0"/>
                <w:sz w:val="20"/>
                <w:szCs w:val="20"/>
              </w:rPr>
            </w:pPr>
          </w:p>
          <w:p w14:paraId="02CC4086" w14:textId="77777777" w:rsidR="00257AC6" w:rsidRDefault="00257AC6" w:rsidP="000C5D9F">
            <w:pPr>
              <w:pStyle w:val="Heading1"/>
              <w:spacing w:before="1"/>
              <w:ind w:left="0"/>
              <w:rPr>
                <w:rFonts w:asciiTheme="minorHAnsi" w:hAnsiTheme="minorHAnsi" w:cstheme="minorHAnsi"/>
                <w:b w:val="0"/>
                <w:bCs w:val="0"/>
                <w:sz w:val="20"/>
                <w:szCs w:val="20"/>
              </w:rPr>
            </w:pPr>
          </w:p>
          <w:p w14:paraId="5C085134" w14:textId="6B0394E9" w:rsidR="00257AC6" w:rsidRPr="00E04BE1" w:rsidRDefault="00257AC6"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 xml:space="preserve">Green </w:t>
            </w:r>
          </w:p>
        </w:tc>
        <w:tc>
          <w:tcPr>
            <w:tcW w:w="3587" w:type="dxa"/>
          </w:tcPr>
          <w:p w14:paraId="56C479E3" w14:textId="77777777" w:rsidR="00257AC6" w:rsidRDefault="00257AC6" w:rsidP="00257AC6">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 xml:space="preserve">Process in place for care agencies to alert RBG if there is an issue with medication and advice is given to contact GP and family to undertake a medication review. </w:t>
            </w:r>
          </w:p>
          <w:p w14:paraId="590DD126"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r>
      <w:tr w:rsidR="00257AC6" w:rsidRPr="00E04BE1" w14:paraId="082F1B1C" w14:textId="77777777" w:rsidTr="00257AC6">
        <w:trPr>
          <w:trHeight w:val="1225"/>
        </w:trPr>
        <w:tc>
          <w:tcPr>
            <w:tcW w:w="945" w:type="dxa"/>
            <w:vMerge/>
          </w:tcPr>
          <w:p w14:paraId="73ECBC38"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3625" w:type="dxa"/>
            <w:vMerge/>
          </w:tcPr>
          <w:p w14:paraId="5BFD9A5E"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3794" w:type="dxa"/>
          </w:tcPr>
          <w:p w14:paraId="007EE92A" w14:textId="77777777" w:rsidR="00257AC6" w:rsidRPr="00E04BE1" w:rsidRDefault="00257AC6" w:rsidP="00AA4AF9">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Update D</w:t>
            </w:r>
            <w:r>
              <w:rPr>
                <w:rFonts w:asciiTheme="minorHAnsi" w:hAnsiTheme="minorHAnsi" w:cstheme="minorHAnsi"/>
                <w:b w:val="0"/>
                <w:bCs w:val="0"/>
                <w:sz w:val="20"/>
                <w:szCs w:val="20"/>
              </w:rPr>
              <w:t xml:space="preserve">irect </w:t>
            </w:r>
            <w:r w:rsidRPr="00E04BE1">
              <w:rPr>
                <w:rFonts w:asciiTheme="minorHAnsi" w:hAnsiTheme="minorHAnsi" w:cstheme="minorHAnsi"/>
                <w:b w:val="0"/>
                <w:bCs w:val="0"/>
                <w:sz w:val="20"/>
                <w:szCs w:val="20"/>
              </w:rPr>
              <w:t>P</w:t>
            </w:r>
            <w:r>
              <w:rPr>
                <w:rFonts w:asciiTheme="minorHAnsi" w:hAnsiTheme="minorHAnsi" w:cstheme="minorHAnsi"/>
                <w:b w:val="0"/>
                <w:bCs w:val="0"/>
                <w:sz w:val="20"/>
                <w:szCs w:val="20"/>
              </w:rPr>
              <w:t>ayments</w:t>
            </w:r>
            <w:r w:rsidRPr="00E04BE1">
              <w:rPr>
                <w:rFonts w:asciiTheme="minorHAnsi" w:hAnsiTheme="minorHAnsi" w:cstheme="minorHAnsi"/>
                <w:b w:val="0"/>
                <w:bCs w:val="0"/>
                <w:sz w:val="20"/>
                <w:szCs w:val="20"/>
              </w:rPr>
              <w:t xml:space="preserve"> handbook to include any concerns regarding medication management to be referred to GP. </w:t>
            </w:r>
          </w:p>
          <w:p w14:paraId="2B17E2E3" w14:textId="77777777" w:rsidR="00257AC6" w:rsidRPr="00E04BE1" w:rsidRDefault="00257AC6" w:rsidP="00E04BE1">
            <w:pPr>
              <w:pStyle w:val="Heading1"/>
              <w:spacing w:before="1"/>
              <w:ind w:left="0"/>
              <w:rPr>
                <w:rFonts w:asciiTheme="minorHAnsi" w:hAnsiTheme="minorHAnsi" w:cstheme="minorHAnsi"/>
                <w:b w:val="0"/>
                <w:bCs w:val="0"/>
                <w:sz w:val="20"/>
                <w:szCs w:val="20"/>
              </w:rPr>
            </w:pPr>
          </w:p>
        </w:tc>
        <w:tc>
          <w:tcPr>
            <w:tcW w:w="1529" w:type="dxa"/>
            <w:vMerge/>
          </w:tcPr>
          <w:p w14:paraId="4E67F708"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1205" w:type="dxa"/>
            <w:vMerge/>
          </w:tcPr>
          <w:p w14:paraId="057CBC36"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766" w:type="dxa"/>
            <w:vMerge/>
            <w:shd w:val="clear" w:color="auto" w:fill="92D050"/>
          </w:tcPr>
          <w:p w14:paraId="1D4D0FFA" w14:textId="77777777" w:rsidR="00257AC6" w:rsidRPr="00E04BE1" w:rsidRDefault="00257AC6" w:rsidP="000C5D9F">
            <w:pPr>
              <w:pStyle w:val="Heading1"/>
              <w:spacing w:before="1"/>
              <w:ind w:left="0"/>
              <w:rPr>
                <w:rFonts w:asciiTheme="minorHAnsi" w:hAnsiTheme="minorHAnsi" w:cstheme="minorHAnsi"/>
                <w:b w:val="0"/>
                <w:bCs w:val="0"/>
                <w:sz w:val="20"/>
                <w:szCs w:val="20"/>
              </w:rPr>
            </w:pPr>
          </w:p>
        </w:tc>
        <w:tc>
          <w:tcPr>
            <w:tcW w:w="3587" w:type="dxa"/>
          </w:tcPr>
          <w:p w14:paraId="306AB1AE" w14:textId="7037D8BB" w:rsidR="00257AC6" w:rsidRPr="00E04BE1" w:rsidRDefault="00257AC6"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Handbook updated in June 2021</w:t>
            </w:r>
          </w:p>
        </w:tc>
      </w:tr>
      <w:tr w:rsidR="00AA4AF9" w:rsidRPr="00E04BE1" w14:paraId="66E475FF" w14:textId="021D939F" w:rsidTr="00257AC6">
        <w:tc>
          <w:tcPr>
            <w:tcW w:w="945" w:type="dxa"/>
            <w:vMerge/>
          </w:tcPr>
          <w:p w14:paraId="58633873"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3625" w:type="dxa"/>
          </w:tcPr>
          <w:p w14:paraId="7179696B"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That where Home Care Providers are supporting adults with epilepsy, they include monitoring, prompting of medication, until a responsible physician approves any changes in medication management.</w:t>
            </w:r>
          </w:p>
        </w:tc>
        <w:tc>
          <w:tcPr>
            <w:tcW w:w="3794" w:type="dxa"/>
          </w:tcPr>
          <w:p w14:paraId="1BDBBD5E" w14:textId="77777777" w:rsidR="00AA4AF9" w:rsidRDefault="00AA4AF9" w:rsidP="000C5D9F">
            <w:pPr>
              <w:pStyle w:val="Heading1"/>
              <w:spacing w:before="1"/>
              <w:ind w:left="0"/>
              <w:rPr>
                <w:rFonts w:asciiTheme="minorHAnsi" w:hAnsiTheme="minorHAnsi" w:cstheme="minorHAnsi"/>
                <w:b w:val="0"/>
                <w:bCs w:val="0"/>
                <w:sz w:val="20"/>
                <w:szCs w:val="20"/>
              </w:rPr>
            </w:pPr>
          </w:p>
          <w:p w14:paraId="59CE1F50" w14:textId="34F50A4D" w:rsidR="00AA4AF9" w:rsidRPr="00487607" w:rsidRDefault="00257AC6" w:rsidP="000C5D9F">
            <w:pPr>
              <w:pStyle w:val="Heading1"/>
              <w:spacing w:before="1"/>
              <w:ind w:left="0"/>
              <w:rPr>
                <w:rFonts w:asciiTheme="minorHAnsi" w:hAnsiTheme="minorHAnsi" w:cstheme="minorHAnsi"/>
                <w:b w:val="0"/>
                <w:bCs w:val="0"/>
                <w:color w:val="7030A0"/>
                <w:sz w:val="20"/>
                <w:szCs w:val="20"/>
              </w:rPr>
            </w:pPr>
            <w:r w:rsidRPr="00257AC6">
              <w:rPr>
                <w:rFonts w:asciiTheme="minorHAnsi" w:hAnsiTheme="minorHAnsi" w:cstheme="minorHAnsi"/>
                <w:b w:val="0"/>
                <w:bCs w:val="0"/>
                <w:sz w:val="20"/>
                <w:szCs w:val="20"/>
              </w:rPr>
              <w:t xml:space="preserve">As part of the new tendering process – Service providers with additional requirements for epilepsy training will be commissioned. </w:t>
            </w:r>
          </w:p>
        </w:tc>
        <w:tc>
          <w:tcPr>
            <w:tcW w:w="1529" w:type="dxa"/>
          </w:tcPr>
          <w:p w14:paraId="53941A33"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Commissioning/ Home Care providers </w:t>
            </w:r>
          </w:p>
        </w:tc>
        <w:tc>
          <w:tcPr>
            <w:tcW w:w="1205" w:type="dxa"/>
          </w:tcPr>
          <w:p w14:paraId="73BE0412" w14:textId="4FE376CC"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Ongoing /June 2022</w:t>
            </w:r>
          </w:p>
        </w:tc>
        <w:tc>
          <w:tcPr>
            <w:tcW w:w="766" w:type="dxa"/>
            <w:shd w:val="clear" w:color="auto" w:fill="FFC000"/>
          </w:tcPr>
          <w:p w14:paraId="5BAF15CE" w14:textId="0D35153E" w:rsidR="00AA4AF9" w:rsidRPr="00E04BE1" w:rsidRDefault="00257AC6"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Amber </w:t>
            </w:r>
            <w:r w:rsidR="00AA4AF9" w:rsidRPr="00E04BE1">
              <w:rPr>
                <w:rFonts w:asciiTheme="minorHAnsi" w:hAnsiTheme="minorHAnsi" w:cstheme="minorHAnsi"/>
                <w:b w:val="0"/>
                <w:bCs w:val="0"/>
                <w:sz w:val="20"/>
                <w:szCs w:val="20"/>
              </w:rPr>
              <w:t xml:space="preserve">  </w:t>
            </w:r>
          </w:p>
        </w:tc>
        <w:tc>
          <w:tcPr>
            <w:tcW w:w="3587" w:type="dxa"/>
          </w:tcPr>
          <w:p w14:paraId="0907DDEA" w14:textId="77777777" w:rsidR="00257AC6" w:rsidRPr="00E04BE1" w:rsidRDefault="00257AC6" w:rsidP="00257AC6">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Specialist providers for epilepsy commissioned for new tender who have additional training requirements for epilepsy. Tendering process commences June 2021. </w:t>
            </w:r>
          </w:p>
          <w:p w14:paraId="0188AD2F" w14:textId="0F6464D1" w:rsidR="00AA4AF9" w:rsidRPr="0026006D" w:rsidRDefault="00257AC6"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All providers have better monitoring of care workers and medication policy in place to ensure medication is administered correctly. </w:t>
            </w:r>
          </w:p>
          <w:p w14:paraId="43B4F50E" w14:textId="04EC8A77" w:rsidR="00AA4AF9" w:rsidRPr="00E04BE1" w:rsidRDefault="00AA4AF9" w:rsidP="00257AC6">
            <w:pPr>
              <w:rPr>
                <w:rFonts w:cstheme="minorHAnsi"/>
                <w:b/>
                <w:bCs/>
                <w:sz w:val="20"/>
                <w:szCs w:val="20"/>
              </w:rPr>
            </w:pPr>
          </w:p>
        </w:tc>
      </w:tr>
      <w:tr w:rsidR="00AA4AF9" w:rsidRPr="00E04BE1" w14:paraId="22FD4088" w14:textId="102A0012" w:rsidTr="00257AC6">
        <w:tc>
          <w:tcPr>
            <w:tcW w:w="945" w:type="dxa"/>
            <w:vMerge/>
          </w:tcPr>
          <w:p w14:paraId="658FA2A2" w14:textId="77777777" w:rsidR="00AA4AF9" w:rsidRPr="00E04BE1" w:rsidRDefault="00AA4AF9" w:rsidP="000C5D9F">
            <w:pPr>
              <w:pStyle w:val="Heading1"/>
              <w:spacing w:before="1"/>
              <w:ind w:left="0"/>
              <w:rPr>
                <w:rFonts w:asciiTheme="minorHAnsi" w:hAnsiTheme="minorHAnsi" w:cstheme="minorHAnsi"/>
                <w:b w:val="0"/>
                <w:bCs w:val="0"/>
                <w:sz w:val="20"/>
                <w:szCs w:val="20"/>
              </w:rPr>
            </w:pPr>
          </w:p>
        </w:tc>
        <w:tc>
          <w:tcPr>
            <w:tcW w:w="3625" w:type="dxa"/>
          </w:tcPr>
          <w:p w14:paraId="525F0960" w14:textId="7E2A873A"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If Home Care Providers amend care plans to not monitor medication, following an adult stating they are independent, this change is highlighted to families prior to the revised Care Plan being counter-signed by them</w:t>
            </w:r>
          </w:p>
        </w:tc>
        <w:tc>
          <w:tcPr>
            <w:tcW w:w="3794" w:type="dxa"/>
          </w:tcPr>
          <w:p w14:paraId="51F1D906" w14:textId="58AC8BAD" w:rsidR="00AA4AF9"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New tender </w:t>
            </w:r>
            <w:r w:rsidR="00257AC6">
              <w:rPr>
                <w:rFonts w:asciiTheme="minorHAnsi" w:hAnsiTheme="minorHAnsi" w:cstheme="minorHAnsi"/>
                <w:b w:val="0"/>
                <w:bCs w:val="0"/>
                <w:sz w:val="20"/>
                <w:szCs w:val="20"/>
              </w:rPr>
              <w:t xml:space="preserve">to </w:t>
            </w:r>
            <w:r w:rsidRPr="00E04BE1">
              <w:rPr>
                <w:rFonts w:asciiTheme="minorHAnsi" w:hAnsiTheme="minorHAnsi" w:cstheme="minorHAnsi"/>
                <w:b w:val="0"/>
                <w:bCs w:val="0"/>
                <w:sz w:val="20"/>
                <w:szCs w:val="20"/>
              </w:rPr>
              <w:t xml:space="preserve">ensure that electronic system is available to local authority and information is more easily shared. </w:t>
            </w:r>
          </w:p>
          <w:p w14:paraId="0BCDC57A" w14:textId="77777777" w:rsidR="00AA4AF9" w:rsidRDefault="00AA4AF9" w:rsidP="000C5D9F">
            <w:pPr>
              <w:pStyle w:val="Heading1"/>
              <w:spacing w:before="1"/>
              <w:ind w:left="0"/>
              <w:rPr>
                <w:rFonts w:asciiTheme="minorHAnsi" w:hAnsiTheme="minorHAnsi" w:cstheme="minorHAnsi"/>
                <w:b w:val="0"/>
                <w:bCs w:val="0"/>
                <w:sz w:val="20"/>
                <w:szCs w:val="20"/>
              </w:rPr>
            </w:pPr>
          </w:p>
          <w:p w14:paraId="22F790A0" w14:textId="1B31AD0F" w:rsidR="00AA4AF9" w:rsidRPr="00487607" w:rsidRDefault="00AA4AF9" w:rsidP="000C5D9F">
            <w:pPr>
              <w:pStyle w:val="Heading1"/>
              <w:spacing w:before="1"/>
              <w:ind w:left="0"/>
              <w:rPr>
                <w:rFonts w:asciiTheme="minorHAnsi" w:hAnsiTheme="minorHAnsi" w:cstheme="minorHAnsi"/>
                <w:b w:val="0"/>
                <w:bCs w:val="0"/>
                <w:color w:val="7030A0"/>
                <w:sz w:val="20"/>
                <w:szCs w:val="20"/>
              </w:rPr>
            </w:pPr>
          </w:p>
        </w:tc>
        <w:tc>
          <w:tcPr>
            <w:tcW w:w="1529" w:type="dxa"/>
          </w:tcPr>
          <w:p w14:paraId="0E74216B" w14:textId="77777777"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Commissioning/ Home Care providers</w:t>
            </w:r>
          </w:p>
        </w:tc>
        <w:tc>
          <w:tcPr>
            <w:tcW w:w="1205" w:type="dxa"/>
          </w:tcPr>
          <w:p w14:paraId="1832D0CD" w14:textId="6022BC0C"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Ongoing-June 2022</w:t>
            </w:r>
          </w:p>
        </w:tc>
        <w:tc>
          <w:tcPr>
            <w:tcW w:w="766" w:type="dxa"/>
            <w:shd w:val="clear" w:color="auto" w:fill="92D050"/>
          </w:tcPr>
          <w:p w14:paraId="70811486" w14:textId="564719F8" w:rsidR="00AA4AF9" w:rsidRPr="00E04BE1" w:rsidRDefault="00AA4AF9"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Green </w:t>
            </w:r>
          </w:p>
        </w:tc>
        <w:tc>
          <w:tcPr>
            <w:tcW w:w="3587" w:type="dxa"/>
          </w:tcPr>
          <w:p w14:paraId="1731AC75" w14:textId="77777777" w:rsidR="00AA4AF9" w:rsidRDefault="00257AC6" w:rsidP="00257AC6">
            <w:pPr>
              <w:rPr>
                <w:sz w:val="20"/>
                <w:szCs w:val="20"/>
              </w:rPr>
            </w:pPr>
            <w:r w:rsidRPr="00257AC6">
              <w:rPr>
                <w:rFonts w:cstheme="minorHAnsi"/>
                <w:sz w:val="20"/>
                <w:szCs w:val="20"/>
              </w:rPr>
              <w:t xml:space="preserve">This is included in the new tender -in the interim </w:t>
            </w:r>
            <w:r>
              <w:rPr>
                <w:rFonts w:cstheme="minorHAnsi"/>
                <w:sz w:val="20"/>
                <w:szCs w:val="20"/>
              </w:rPr>
              <w:t>however we</w:t>
            </w:r>
            <w:r w:rsidRPr="00257AC6">
              <w:rPr>
                <w:rFonts w:cstheme="minorHAnsi"/>
                <w:sz w:val="20"/>
                <w:szCs w:val="20"/>
              </w:rPr>
              <w:t xml:space="preserve"> are assured that </w:t>
            </w:r>
            <w:r w:rsidRPr="00257AC6">
              <w:rPr>
                <w:sz w:val="20"/>
                <w:szCs w:val="20"/>
              </w:rPr>
              <w:t xml:space="preserve">all provider, should be doing this as a matter of course. </w:t>
            </w:r>
          </w:p>
          <w:p w14:paraId="29D1B400" w14:textId="77777777" w:rsidR="0026006D" w:rsidRDefault="0026006D" w:rsidP="00257AC6">
            <w:pPr>
              <w:rPr>
                <w:sz w:val="20"/>
                <w:szCs w:val="20"/>
              </w:rPr>
            </w:pPr>
          </w:p>
          <w:p w14:paraId="0398E350" w14:textId="0319CCF8" w:rsidR="0026006D" w:rsidRDefault="0026006D" w:rsidP="0026006D">
            <w:pPr>
              <w:shd w:val="clear" w:color="auto" w:fill="FFFFFF" w:themeFill="background1"/>
              <w:spacing w:after="160" w:line="252" w:lineRule="auto"/>
              <w:contextualSpacing/>
              <w:jc w:val="both"/>
              <w:rPr>
                <w:rFonts w:cstheme="minorHAnsi"/>
                <w:sz w:val="20"/>
                <w:szCs w:val="20"/>
              </w:rPr>
            </w:pPr>
            <w:r>
              <w:rPr>
                <w:sz w:val="20"/>
                <w:szCs w:val="20"/>
              </w:rPr>
              <w:t xml:space="preserve">In </w:t>
            </w:r>
            <w:proofErr w:type="gramStart"/>
            <w:r>
              <w:rPr>
                <w:sz w:val="20"/>
                <w:szCs w:val="20"/>
              </w:rPr>
              <w:t>addition</w:t>
            </w:r>
            <w:proofErr w:type="gramEnd"/>
            <w:r>
              <w:rPr>
                <w:sz w:val="20"/>
                <w:szCs w:val="20"/>
              </w:rPr>
              <w:t xml:space="preserve"> if t</w:t>
            </w:r>
            <w:r w:rsidRPr="0026006D">
              <w:rPr>
                <w:rFonts w:cstheme="minorHAnsi"/>
                <w:sz w:val="20"/>
                <w:szCs w:val="20"/>
                <w:lang w:val="en-US"/>
              </w:rPr>
              <w:t>here is evidence of non-compliance</w:t>
            </w:r>
            <w:r>
              <w:rPr>
                <w:rFonts w:cstheme="minorHAnsi"/>
                <w:sz w:val="20"/>
                <w:szCs w:val="20"/>
                <w:lang w:val="en-US"/>
              </w:rPr>
              <w:t xml:space="preserve"> in relation to medication</w:t>
            </w:r>
            <w:r w:rsidRPr="0026006D">
              <w:rPr>
                <w:rFonts w:cstheme="minorHAnsi"/>
                <w:sz w:val="20"/>
                <w:szCs w:val="20"/>
                <w:lang w:val="en-US"/>
              </w:rPr>
              <w:t xml:space="preserve">, the agency contact Adult social care and family which Can be recorded and tracked on </w:t>
            </w:r>
            <w:r>
              <w:rPr>
                <w:rFonts w:cstheme="minorHAnsi"/>
                <w:sz w:val="20"/>
                <w:szCs w:val="20"/>
                <w:lang w:val="en-US"/>
              </w:rPr>
              <w:t xml:space="preserve">Mosaic </w:t>
            </w:r>
            <w:r w:rsidRPr="0026006D">
              <w:rPr>
                <w:rFonts w:cstheme="minorHAnsi"/>
                <w:sz w:val="20"/>
                <w:szCs w:val="20"/>
                <w:lang w:val="en-US"/>
              </w:rPr>
              <w:t>which may then create a pattern to request a meds review</w:t>
            </w:r>
            <w:r w:rsidRPr="00E04BE1">
              <w:rPr>
                <w:rFonts w:cstheme="minorHAnsi"/>
                <w:sz w:val="20"/>
                <w:szCs w:val="20"/>
              </w:rPr>
              <w:t xml:space="preserve"> </w:t>
            </w:r>
          </w:p>
          <w:p w14:paraId="36515ED3" w14:textId="1B553900" w:rsidR="0026006D" w:rsidRPr="00257AC6" w:rsidRDefault="0026006D" w:rsidP="00257AC6">
            <w:pPr>
              <w:rPr>
                <w:rFonts w:cstheme="minorHAnsi"/>
                <w:sz w:val="20"/>
                <w:szCs w:val="20"/>
              </w:rPr>
            </w:pPr>
          </w:p>
        </w:tc>
      </w:tr>
      <w:tr w:rsidR="001D4494" w:rsidRPr="00E04BE1" w14:paraId="356C0E1E" w14:textId="6AAF858A" w:rsidTr="0008660E">
        <w:tc>
          <w:tcPr>
            <w:tcW w:w="945" w:type="dxa"/>
            <w:vMerge w:val="restart"/>
          </w:tcPr>
          <w:p w14:paraId="68A171F4"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3</w:t>
            </w:r>
          </w:p>
        </w:tc>
        <w:tc>
          <w:tcPr>
            <w:tcW w:w="3625" w:type="dxa"/>
          </w:tcPr>
          <w:p w14:paraId="149D8199" w14:textId="77777777" w:rsidR="001D4494" w:rsidRPr="00E04BE1" w:rsidRDefault="001D4494" w:rsidP="000C5D9F">
            <w:pPr>
              <w:pStyle w:val="Heading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Where a potential new service is being commissioned/transferred through the Brokerage Service, all relevant assessments are included as part of the first conversation, to enable a provider to </w:t>
            </w:r>
            <w:r w:rsidRPr="00E04BE1">
              <w:rPr>
                <w:rFonts w:asciiTheme="minorHAnsi" w:hAnsiTheme="minorHAnsi" w:cstheme="minorHAnsi"/>
                <w:b w:val="0"/>
                <w:bCs w:val="0"/>
                <w:sz w:val="20"/>
                <w:szCs w:val="20"/>
              </w:rPr>
              <w:lastRenderedPageBreak/>
              <w:t>make an informed view on whether they are willing and able to take on the case.</w:t>
            </w:r>
          </w:p>
        </w:tc>
        <w:tc>
          <w:tcPr>
            <w:tcW w:w="3794" w:type="dxa"/>
          </w:tcPr>
          <w:p w14:paraId="798189E5" w14:textId="27F5C2DF"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 xml:space="preserve">To ensure all assessments are transferred to brokerage services currently and is stipulated in the new tender. </w:t>
            </w:r>
          </w:p>
        </w:tc>
        <w:tc>
          <w:tcPr>
            <w:tcW w:w="1529" w:type="dxa"/>
          </w:tcPr>
          <w:p w14:paraId="799402AF"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Commissioning/ Home care providers</w:t>
            </w:r>
          </w:p>
        </w:tc>
        <w:tc>
          <w:tcPr>
            <w:tcW w:w="1205" w:type="dxa"/>
          </w:tcPr>
          <w:p w14:paraId="3E37F460" w14:textId="0442A80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Ongoing- June 2022</w:t>
            </w:r>
          </w:p>
        </w:tc>
        <w:tc>
          <w:tcPr>
            <w:tcW w:w="766" w:type="dxa"/>
            <w:shd w:val="clear" w:color="auto" w:fill="92D050"/>
          </w:tcPr>
          <w:p w14:paraId="03A6EA02" w14:textId="0059B99E"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Green </w:t>
            </w:r>
          </w:p>
        </w:tc>
        <w:tc>
          <w:tcPr>
            <w:tcW w:w="3587" w:type="dxa"/>
          </w:tcPr>
          <w:p w14:paraId="3B775053" w14:textId="77777777" w:rsidR="0008660E" w:rsidRDefault="0008660E" w:rsidP="0008660E">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Part of the current contract and strengthened in new tender. </w:t>
            </w:r>
          </w:p>
          <w:p w14:paraId="6AA2E482" w14:textId="5486339F"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1D36CE73" w14:textId="06254637" w:rsidTr="0008660E">
        <w:tc>
          <w:tcPr>
            <w:tcW w:w="945" w:type="dxa"/>
            <w:vMerge/>
          </w:tcPr>
          <w:p w14:paraId="0D666201"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2BCA7052" w14:textId="77777777" w:rsidR="001D4494" w:rsidRPr="00E04BE1" w:rsidRDefault="001D4494" w:rsidP="000C5D9F">
            <w:pPr>
              <w:pStyle w:val="Heading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this service involves a risk of non-compliance, or lack of access to the adult, then a fully joined up plan for carers to record, escalate to their managers and for subsequent responses is agreed by all parties, including the adult and their family.</w:t>
            </w:r>
          </w:p>
        </w:tc>
        <w:tc>
          <w:tcPr>
            <w:tcW w:w="3794" w:type="dxa"/>
          </w:tcPr>
          <w:p w14:paraId="65ED46C2" w14:textId="11AC57BA"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Imbed the use of electronic recording systems for care providers and a pathway for escalation. </w:t>
            </w:r>
          </w:p>
          <w:p w14:paraId="302102FB" w14:textId="77777777" w:rsidR="001D4494" w:rsidRPr="00E04BE1" w:rsidRDefault="001D4494" w:rsidP="000C5D9F">
            <w:pPr>
              <w:pStyle w:val="Heading1"/>
              <w:spacing w:before="1"/>
              <w:ind w:left="0"/>
              <w:rPr>
                <w:rFonts w:asciiTheme="minorHAnsi" w:hAnsiTheme="minorHAnsi" w:cstheme="minorHAnsi"/>
                <w:b w:val="0"/>
                <w:bCs w:val="0"/>
                <w:sz w:val="20"/>
                <w:szCs w:val="20"/>
              </w:rPr>
            </w:pPr>
          </w:p>
          <w:p w14:paraId="79DFBBF0" w14:textId="77777777" w:rsidR="001D4494" w:rsidRDefault="001D4494" w:rsidP="000C5D9F">
            <w:pPr>
              <w:spacing w:after="160" w:line="252" w:lineRule="auto"/>
              <w:contextualSpacing/>
              <w:rPr>
                <w:rFonts w:cstheme="minorHAnsi"/>
                <w:sz w:val="20"/>
                <w:szCs w:val="20"/>
                <w:lang w:val="en-US"/>
              </w:rPr>
            </w:pPr>
          </w:p>
          <w:p w14:paraId="1043B6DC" w14:textId="7DCA54F1" w:rsidR="001D4494" w:rsidRPr="00E04BE1" w:rsidRDefault="001D4494" w:rsidP="000C5D9F">
            <w:pPr>
              <w:spacing w:after="160" w:line="252" w:lineRule="auto"/>
              <w:contextualSpacing/>
              <w:rPr>
                <w:rFonts w:cstheme="minorHAnsi"/>
                <w:sz w:val="20"/>
                <w:szCs w:val="20"/>
                <w:lang w:val="en-US"/>
              </w:rPr>
            </w:pPr>
          </w:p>
        </w:tc>
        <w:tc>
          <w:tcPr>
            <w:tcW w:w="1529" w:type="dxa"/>
          </w:tcPr>
          <w:p w14:paraId="10CACAD3"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Commissioning/ Home care providers</w:t>
            </w:r>
          </w:p>
        </w:tc>
        <w:tc>
          <w:tcPr>
            <w:tcW w:w="1205" w:type="dxa"/>
          </w:tcPr>
          <w:p w14:paraId="4ED3BD45" w14:textId="4CBE9F52"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Ongoing-June 2022</w:t>
            </w:r>
          </w:p>
        </w:tc>
        <w:tc>
          <w:tcPr>
            <w:tcW w:w="766" w:type="dxa"/>
            <w:shd w:val="clear" w:color="auto" w:fill="92D050"/>
          </w:tcPr>
          <w:p w14:paraId="2C10D7E2" w14:textId="35C75353"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Green </w:t>
            </w:r>
          </w:p>
        </w:tc>
        <w:tc>
          <w:tcPr>
            <w:tcW w:w="3587" w:type="dxa"/>
          </w:tcPr>
          <w:p w14:paraId="6BE7A9BC" w14:textId="77777777" w:rsidR="001D4494" w:rsidRDefault="0008660E"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More provider using electronic systems and MARS sheet in current contract. In the new contract this is further strengthened to ensure that all providers use this system and that we have access to it and a new medication policy is being built around this</w:t>
            </w:r>
          </w:p>
          <w:p w14:paraId="6A6B8E18" w14:textId="77777777" w:rsidR="0026006D" w:rsidRDefault="0026006D" w:rsidP="000C5D9F">
            <w:pPr>
              <w:pStyle w:val="Heading1"/>
              <w:spacing w:before="1"/>
              <w:ind w:left="0"/>
              <w:rPr>
                <w:rFonts w:asciiTheme="minorHAnsi" w:hAnsiTheme="minorHAnsi" w:cstheme="minorHAnsi"/>
                <w:b w:val="0"/>
                <w:bCs w:val="0"/>
                <w:sz w:val="20"/>
                <w:szCs w:val="20"/>
              </w:rPr>
            </w:pPr>
          </w:p>
          <w:p w14:paraId="3B371A04" w14:textId="1363224C" w:rsidR="0026006D" w:rsidRDefault="0026006D" w:rsidP="0026006D">
            <w:pPr>
              <w:shd w:val="clear" w:color="auto" w:fill="FFFFFF" w:themeFill="background1"/>
              <w:spacing w:after="160" w:line="252" w:lineRule="auto"/>
              <w:contextualSpacing/>
              <w:jc w:val="both"/>
              <w:rPr>
                <w:rFonts w:cstheme="minorHAnsi"/>
                <w:sz w:val="20"/>
                <w:szCs w:val="20"/>
              </w:rPr>
            </w:pPr>
            <w:r w:rsidRPr="0026006D">
              <w:rPr>
                <w:rFonts w:cstheme="minorHAnsi"/>
                <w:sz w:val="20"/>
                <w:szCs w:val="20"/>
                <w:lang w:val="en-US"/>
              </w:rPr>
              <w:t>If there is evidence of non-compliance</w:t>
            </w:r>
            <w:r>
              <w:rPr>
                <w:rFonts w:cstheme="minorHAnsi"/>
                <w:sz w:val="20"/>
                <w:szCs w:val="20"/>
                <w:lang w:val="en-US"/>
              </w:rPr>
              <w:t xml:space="preserve"> in relation to medication</w:t>
            </w:r>
            <w:r w:rsidRPr="0026006D">
              <w:rPr>
                <w:rFonts w:cstheme="minorHAnsi"/>
                <w:sz w:val="20"/>
                <w:szCs w:val="20"/>
                <w:lang w:val="en-US"/>
              </w:rPr>
              <w:t xml:space="preserve">, the agency </w:t>
            </w:r>
            <w:proofErr w:type="gramStart"/>
            <w:r w:rsidRPr="0026006D">
              <w:rPr>
                <w:rFonts w:cstheme="minorHAnsi"/>
                <w:sz w:val="20"/>
                <w:szCs w:val="20"/>
                <w:lang w:val="en-US"/>
              </w:rPr>
              <w:t>contact</w:t>
            </w:r>
            <w:proofErr w:type="gramEnd"/>
            <w:r w:rsidRPr="0026006D">
              <w:rPr>
                <w:rFonts w:cstheme="minorHAnsi"/>
                <w:sz w:val="20"/>
                <w:szCs w:val="20"/>
                <w:lang w:val="en-US"/>
              </w:rPr>
              <w:t xml:space="preserve"> Adult social care and family which Can be recorded and tracked on </w:t>
            </w:r>
            <w:r>
              <w:rPr>
                <w:rFonts w:cstheme="minorHAnsi"/>
                <w:sz w:val="20"/>
                <w:szCs w:val="20"/>
                <w:lang w:val="en-US"/>
              </w:rPr>
              <w:t xml:space="preserve">Mosaic </w:t>
            </w:r>
            <w:r w:rsidRPr="0026006D">
              <w:rPr>
                <w:rFonts w:cstheme="minorHAnsi"/>
                <w:sz w:val="20"/>
                <w:szCs w:val="20"/>
                <w:lang w:val="en-US"/>
              </w:rPr>
              <w:t>which may then create a pattern to request a meds review</w:t>
            </w:r>
            <w:r w:rsidRPr="00E04BE1">
              <w:rPr>
                <w:rFonts w:cstheme="minorHAnsi"/>
                <w:sz w:val="20"/>
                <w:szCs w:val="20"/>
              </w:rPr>
              <w:t xml:space="preserve"> </w:t>
            </w:r>
          </w:p>
          <w:p w14:paraId="5F03708A" w14:textId="31677E78" w:rsidR="0026006D" w:rsidRPr="00E04BE1" w:rsidRDefault="0026006D" w:rsidP="000C5D9F">
            <w:pPr>
              <w:pStyle w:val="Heading1"/>
              <w:spacing w:before="1"/>
              <w:ind w:left="0"/>
              <w:rPr>
                <w:rFonts w:asciiTheme="minorHAnsi" w:hAnsiTheme="minorHAnsi" w:cstheme="minorHAnsi"/>
                <w:b w:val="0"/>
                <w:bCs w:val="0"/>
                <w:sz w:val="20"/>
                <w:szCs w:val="20"/>
              </w:rPr>
            </w:pPr>
          </w:p>
        </w:tc>
      </w:tr>
      <w:tr w:rsidR="001D4494" w:rsidRPr="00E04BE1" w14:paraId="245B52CB" w14:textId="22013FB1" w:rsidTr="0026006D">
        <w:tc>
          <w:tcPr>
            <w:tcW w:w="945" w:type="dxa"/>
            <w:vMerge/>
          </w:tcPr>
          <w:p w14:paraId="5A9AC0FB"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7DEA47A7" w14:textId="77777777" w:rsidR="001D4494" w:rsidRPr="00E04BE1" w:rsidRDefault="001D4494" w:rsidP="000C5D9F">
            <w:pPr>
              <w:pStyle w:val="Heading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That any ongoing problems with service delivery are reported by the provider, the case is allocated to a social worker, is regularly reviewed and is not closed until an adequate risk management strategy is in place. </w:t>
            </w:r>
          </w:p>
        </w:tc>
        <w:tc>
          <w:tcPr>
            <w:tcW w:w="3794" w:type="dxa"/>
          </w:tcPr>
          <w:p w14:paraId="5FE8037C" w14:textId="7D2D724B" w:rsidR="001D4494"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New tender ensures that electronic system is available to local authority and information is more easily shared and reviewed.</w:t>
            </w:r>
          </w:p>
          <w:p w14:paraId="5386934B" w14:textId="6CCD86C6" w:rsidR="0026006D" w:rsidRDefault="0026006D" w:rsidP="000C5D9F">
            <w:pPr>
              <w:pStyle w:val="Heading1"/>
              <w:spacing w:before="1"/>
              <w:ind w:left="0"/>
              <w:rPr>
                <w:rFonts w:asciiTheme="minorHAnsi" w:hAnsiTheme="minorHAnsi" w:cstheme="minorHAnsi"/>
                <w:b w:val="0"/>
                <w:bCs w:val="0"/>
                <w:sz w:val="20"/>
                <w:szCs w:val="20"/>
              </w:rPr>
            </w:pPr>
          </w:p>
          <w:p w14:paraId="1FCBD625" w14:textId="6ACC4616" w:rsidR="001D4494" w:rsidRPr="0026006D" w:rsidRDefault="0026006D"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Ensure a robust provider concerns process and sharing of information between Safeguarding Adults and commissioners. </w:t>
            </w:r>
          </w:p>
        </w:tc>
        <w:tc>
          <w:tcPr>
            <w:tcW w:w="1529" w:type="dxa"/>
          </w:tcPr>
          <w:p w14:paraId="69E3024F"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Commissioning/ home care providers</w:t>
            </w:r>
          </w:p>
        </w:tc>
        <w:tc>
          <w:tcPr>
            <w:tcW w:w="1205" w:type="dxa"/>
          </w:tcPr>
          <w:p w14:paraId="44DC8BBB"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766" w:type="dxa"/>
            <w:shd w:val="clear" w:color="auto" w:fill="92D050"/>
          </w:tcPr>
          <w:p w14:paraId="5BE96883" w14:textId="42B6898C" w:rsidR="001D4494" w:rsidRPr="00E04BE1" w:rsidRDefault="0026006D"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Green </w:t>
            </w:r>
          </w:p>
        </w:tc>
        <w:tc>
          <w:tcPr>
            <w:tcW w:w="3587" w:type="dxa"/>
          </w:tcPr>
          <w:p w14:paraId="24F52FCF" w14:textId="221A0941" w:rsidR="001D4494" w:rsidRPr="00E04BE1" w:rsidRDefault="0008660E"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lang w:val="en-US"/>
              </w:rPr>
              <w:t xml:space="preserve">The Safeguarding Adults Team convenes regular (monthly) meetings with the Contracts and Commissioning team to review concerns and share intelligence relating to quality alerts and safeguarding concerning providers.  In </w:t>
            </w:r>
            <w:proofErr w:type="gramStart"/>
            <w:r w:rsidRPr="00E04BE1">
              <w:rPr>
                <w:rFonts w:asciiTheme="minorHAnsi" w:hAnsiTheme="minorHAnsi" w:cstheme="minorHAnsi"/>
                <w:b w:val="0"/>
                <w:bCs w:val="0"/>
                <w:sz w:val="20"/>
                <w:szCs w:val="20"/>
                <w:lang w:val="en-US"/>
              </w:rPr>
              <w:t>addition</w:t>
            </w:r>
            <w:proofErr w:type="gramEnd"/>
            <w:r w:rsidRPr="00E04BE1">
              <w:rPr>
                <w:rFonts w:asciiTheme="minorHAnsi" w:hAnsiTheme="minorHAnsi" w:cstheme="minorHAnsi"/>
                <w:b w:val="0"/>
                <w:bCs w:val="0"/>
                <w:sz w:val="20"/>
                <w:szCs w:val="20"/>
                <w:lang w:val="en-US"/>
              </w:rPr>
              <w:t xml:space="preserve"> the safeguarding team receives and reviews data on a weekly basis concerning safeguarding concerns relating to all provider services commissioned by the borough</w:t>
            </w:r>
          </w:p>
        </w:tc>
      </w:tr>
      <w:tr w:rsidR="001D4494" w:rsidRPr="00E04BE1" w14:paraId="6FC920AA" w14:textId="6D37EF1D" w:rsidTr="00F36F55">
        <w:tc>
          <w:tcPr>
            <w:tcW w:w="945" w:type="dxa"/>
            <w:vMerge/>
          </w:tcPr>
          <w:p w14:paraId="5E83EA1F"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05B97FD5" w14:textId="77777777" w:rsidR="001D4494" w:rsidRPr="00E04BE1" w:rsidRDefault="001D4494" w:rsidP="000C5D9F">
            <w:pPr>
              <w:pStyle w:val="Heading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the above reviews identify risks of self-neglect and concerns about adults’ insight into their care needs, the care plan is amended to document these.</w:t>
            </w:r>
          </w:p>
        </w:tc>
        <w:tc>
          <w:tcPr>
            <w:tcW w:w="3794" w:type="dxa"/>
          </w:tcPr>
          <w:p w14:paraId="337A563B" w14:textId="7777777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Include in </w:t>
            </w:r>
            <w:proofErr w:type="gramStart"/>
            <w:r w:rsidRPr="00E04BE1">
              <w:rPr>
                <w:rFonts w:asciiTheme="minorHAnsi" w:hAnsiTheme="minorHAnsi" w:cstheme="minorHAnsi"/>
                <w:b w:val="0"/>
                <w:bCs w:val="0"/>
                <w:sz w:val="20"/>
                <w:szCs w:val="20"/>
              </w:rPr>
              <w:t>strengths based</w:t>
            </w:r>
            <w:proofErr w:type="gramEnd"/>
            <w:r w:rsidRPr="00E04BE1">
              <w:rPr>
                <w:rFonts w:asciiTheme="minorHAnsi" w:hAnsiTheme="minorHAnsi" w:cstheme="minorHAnsi"/>
                <w:b w:val="0"/>
                <w:bCs w:val="0"/>
                <w:sz w:val="20"/>
                <w:szCs w:val="20"/>
              </w:rPr>
              <w:t xml:space="preserve"> training and develop a policy and guidance notes for staff on self-neglect. </w:t>
            </w:r>
          </w:p>
          <w:p w14:paraId="774AD63E" w14:textId="7777777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 </w:t>
            </w:r>
          </w:p>
          <w:p w14:paraId="0D0A0D4D" w14:textId="7777777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 xml:space="preserve">Commission training for practitioners on how to support residents who may be self-neglecting.  </w:t>
            </w:r>
          </w:p>
          <w:p w14:paraId="55ACF15A" w14:textId="77777777" w:rsidR="001D4494" w:rsidRPr="00E04BE1" w:rsidRDefault="001D4494" w:rsidP="00E04BE1">
            <w:pPr>
              <w:pStyle w:val="Heading1"/>
              <w:spacing w:before="1"/>
              <w:ind w:left="0"/>
              <w:rPr>
                <w:rFonts w:asciiTheme="minorHAnsi" w:hAnsiTheme="minorHAnsi" w:cstheme="minorHAnsi"/>
                <w:b w:val="0"/>
                <w:bCs w:val="0"/>
                <w:sz w:val="20"/>
                <w:szCs w:val="20"/>
              </w:rPr>
            </w:pPr>
          </w:p>
          <w:p w14:paraId="3869B651" w14:textId="66B3F43E"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SAB participating in the Kings college research project on self-neglect and hoarding.</w:t>
            </w:r>
          </w:p>
        </w:tc>
        <w:tc>
          <w:tcPr>
            <w:tcW w:w="1529" w:type="dxa"/>
          </w:tcPr>
          <w:p w14:paraId="3AEDD06D" w14:textId="7777777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 xml:space="preserve">PSW and Head of Adult Safeguarding </w:t>
            </w:r>
          </w:p>
          <w:p w14:paraId="2F8476E7" w14:textId="7777777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 xml:space="preserve">Learning and Development Sub-group </w:t>
            </w:r>
          </w:p>
          <w:p w14:paraId="07D23CCF" w14:textId="77777777" w:rsidR="001D4494" w:rsidRPr="00E04BE1" w:rsidRDefault="001D4494" w:rsidP="00E04BE1">
            <w:pPr>
              <w:pStyle w:val="Heading1"/>
              <w:spacing w:before="1"/>
              <w:ind w:left="0"/>
              <w:rPr>
                <w:rFonts w:asciiTheme="minorHAnsi" w:hAnsiTheme="minorHAnsi" w:cstheme="minorHAnsi"/>
                <w:b w:val="0"/>
                <w:bCs w:val="0"/>
                <w:sz w:val="20"/>
                <w:szCs w:val="20"/>
              </w:rPr>
            </w:pPr>
          </w:p>
          <w:p w14:paraId="4A841425" w14:textId="27739037" w:rsidR="001D4494" w:rsidRPr="00E04BE1" w:rsidRDefault="001D4494" w:rsidP="00E04BE1">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SAB</w:t>
            </w:r>
          </w:p>
        </w:tc>
        <w:tc>
          <w:tcPr>
            <w:tcW w:w="1205" w:type="dxa"/>
          </w:tcPr>
          <w:p w14:paraId="4805BDA9" w14:textId="03C5B2B5"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lastRenderedPageBreak/>
              <w:t xml:space="preserve">Ongoing </w:t>
            </w:r>
          </w:p>
        </w:tc>
        <w:tc>
          <w:tcPr>
            <w:tcW w:w="766" w:type="dxa"/>
            <w:shd w:val="clear" w:color="auto" w:fill="92D050"/>
          </w:tcPr>
          <w:p w14:paraId="1F49DDA7" w14:textId="13C01A87"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 </w:t>
            </w:r>
          </w:p>
        </w:tc>
        <w:tc>
          <w:tcPr>
            <w:tcW w:w="3587" w:type="dxa"/>
          </w:tcPr>
          <w:p w14:paraId="3CE57F74" w14:textId="77777777" w:rsidR="00F36F55" w:rsidRPr="00F36F55" w:rsidRDefault="00F36F55" w:rsidP="00F36F55">
            <w:pPr>
              <w:jc w:val="both"/>
              <w:rPr>
                <w:rFonts w:cstheme="minorHAnsi"/>
                <w:i/>
                <w:iCs/>
                <w:sz w:val="20"/>
                <w:szCs w:val="20"/>
              </w:rPr>
            </w:pPr>
            <w:r w:rsidRPr="00F36F55">
              <w:rPr>
                <w:rFonts w:cstheme="minorHAnsi"/>
                <w:i/>
                <w:iCs/>
                <w:sz w:val="20"/>
                <w:szCs w:val="20"/>
              </w:rPr>
              <w:t xml:space="preserve">SAB has engaged in the Kings college project on Self neglect and </w:t>
            </w:r>
            <w:proofErr w:type="gramStart"/>
            <w:r w:rsidRPr="00F36F55">
              <w:rPr>
                <w:rFonts w:cstheme="minorHAnsi"/>
                <w:i/>
                <w:iCs/>
                <w:sz w:val="20"/>
                <w:szCs w:val="20"/>
              </w:rPr>
              <w:t>Hoarding</w:t>
            </w:r>
            <w:proofErr w:type="gramEnd"/>
            <w:r w:rsidRPr="00F36F55">
              <w:rPr>
                <w:rFonts w:cstheme="minorHAnsi"/>
                <w:i/>
                <w:iCs/>
                <w:sz w:val="20"/>
                <w:szCs w:val="20"/>
              </w:rPr>
              <w:t xml:space="preserve"> which will result in some findings and guidance in relation to Self-neglect and hoarding. </w:t>
            </w:r>
          </w:p>
          <w:p w14:paraId="4B575EFB" w14:textId="77777777" w:rsidR="00F36F55" w:rsidRPr="00F36F55" w:rsidRDefault="00F36F55" w:rsidP="00F36F55">
            <w:pPr>
              <w:jc w:val="both"/>
              <w:rPr>
                <w:rFonts w:cstheme="minorHAnsi"/>
                <w:i/>
                <w:iCs/>
                <w:sz w:val="20"/>
                <w:szCs w:val="20"/>
              </w:rPr>
            </w:pPr>
            <w:r w:rsidRPr="00F36F55">
              <w:rPr>
                <w:rFonts w:cstheme="minorHAnsi"/>
                <w:i/>
                <w:iCs/>
                <w:sz w:val="20"/>
                <w:szCs w:val="20"/>
              </w:rPr>
              <w:lastRenderedPageBreak/>
              <w:t xml:space="preserve"> </w:t>
            </w:r>
          </w:p>
          <w:p w14:paraId="15DD205A" w14:textId="71E394DA" w:rsidR="001D4494" w:rsidRPr="00E04BE1" w:rsidRDefault="00F36F55" w:rsidP="00F36F55">
            <w:pPr>
              <w:pStyle w:val="Heading1"/>
              <w:spacing w:before="1"/>
              <w:ind w:left="0"/>
              <w:rPr>
                <w:rFonts w:asciiTheme="minorHAnsi" w:hAnsiTheme="minorHAnsi" w:cstheme="minorHAnsi"/>
                <w:b w:val="0"/>
                <w:bCs w:val="0"/>
                <w:sz w:val="20"/>
                <w:szCs w:val="20"/>
              </w:rPr>
            </w:pPr>
            <w:r w:rsidRPr="00F36F55">
              <w:rPr>
                <w:rFonts w:asciiTheme="minorHAnsi" w:hAnsiTheme="minorHAnsi" w:cstheme="minorHAnsi"/>
                <w:b w:val="0"/>
                <w:bCs w:val="0"/>
                <w:i/>
                <w:iCs/>
                <w:sz w:val="20"/>
                <w:szCs w:val="20"/>
              </w:rPr>
              <w:t>Self-neglect and hoarding policy and guidance created and circulated. Self-Neglect conference held in November 2022.</w:t>
            </w:r>
          </w:p>
        </w:tc>
      </w:tr>
      <w:tr w:rsidR="001D4494" w:rsidRPr="00E04BE1" w14:paraId="014C680A" w14:textId="5F2ED710" w:rsidTr="00257AC6">
        <w:tc>
          <w:tcPr>
            <w:tcW w:w="945" w:type="dxa"/>
            <w:vMerge w:val="restart"/>
            <w:shd w:val="clear" w:color="auto" w:fill="auto"/>
          </w:tcPr>
          <w:p w14:paraId="11F70129"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4</w:t>
            </w:r>
          </w:p>
        </w:tc>
        <w:tc>
          <w:tcPr>
            <w:tcW w:w="3625" w:type="dxa"/>
            <w:shd w:val="clear" w:color="auto" w:fill="auto"/>
          </w:tcPr>
          <w:p w14:paraId="4BF44ED8" w14:textId="47255565" w:rsidR="001D4494" w:rsidRPr="00E04BE1" w:rsidRDefault="001D4494" w:rsidP="000C5D9F">
            <w:pPr>
              <w:tabs>
                <w:tab w:val="left" w:pos="830"/>
              </w:tabs>
              <w:spacing w:before="72"/>
              <w:jc w:val="both"/>
              <w:rPr>
                <w:rFonts w:cstheme="minorHAnsi"/>
                <w:sz w:val="20"/>
                <w:szCs w:val="20"/>
              </w:rPr>
            </w:pPr>
            <w:r w:rsidRPr="00E04BE1">
              <w:rPr>
                <w:rFonts w:cstheme="minorHAnsi"/>
                <w:sz w:val="20"/>
                <w:szCs w:val="20"/>
              </w:rPr>
              <w:t xml:space="preserve">Where mental health problems, such as depression, are noted during a general hospital admission, this should be followed up by the responsible physician </w:t>
            </w:r>
            <w:r w:rsidRPr="00F36F55">
              <w:rPr>
                <w:rFonts w:cstheme="minorHAnsi"/>
                <w:sz w:val="20"/>
                <w:szCs w:val="20"/>
              </w:rPr>
              <w:t>after</w:t>
            </w:r>
            <w:r w:rsidRPr="00E04BE1">
              <w:rPr>
                <w:rFonts w:cstheme="minorHAnsi"/>
                <w:color w:val="FF0000"/>
                <w:sz w:val="20"/>
                <w:szCs w:val="20"/>
              </w:rPr>
              <w:t xml:space="preserve"> </w:t>
            </w:r>
            <w:r w:rsidRPr="00E04BE1">
              <w:rPr>
                <w:rFonts w:cstheme="minorHAnsi"/>
                <w:sz w:val="20"/>
                <w:szCs w:val="20"/>
              </w:rPr>
              <w:t xml:space="preserve">discharge, for further assessment and </w:t>
            </w:r>
            <w:proofErr w:type="gramStart"/>
            <w:r w:rsidRPr="00E04BE1">
              <w:rPr>
                <w:rFonts w:cstheme="minorHAnsi"/>
                <w:sz w:val="20"/>
                <w:szCs w:val="20"/>
              </w:rPr>
              <w:t>treatment</w:t>
            </w:r>
            <w:proofErr w:type="gramEnd"/>
            <w:r w:rsidRPr="00E04BE1">
              <w:rPr>
                <w:rFonts w:cstheme="minorHAnsi"/>
                <w:sz w:val="20"/>
                <w:szCs w:val="20"/>
              </w:rPr>
              <w:t xml:space="preserve"> if necessary, based on the clinical judgement of the doctor in the community</w:t>
            </w:r>
          </w:p>
        </w:tc>
        <w:tc>
          <w:tcPr>
            <w:tcW w:w="3794" w:type="dxa"/>
            <w:shd w:val="clear" w:color="auto" w:fill="auto"/>
          </w:tcPr>
          <w:p w14:paraId="61E79A18"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Liaise and negotiate agreement with secondary care that this is clearly communicated in the “action for GP” section of the discharge summary.</w:t>
            </w:r>
          </w:p>
          <w:p w14:paraId="24F8B7F3" w14:textId="77777777" w:rsidR="001D4494" w:rsidRPr="00E04BE1" w:rsidRDefault="001D4494" w:rsidP="000C5D9F">
            <w:pPr>
              <w:pStyle w:val="Heading1"/>
              <w:spacing w:before="1"/>
              <w:ind w:left="0"/>
              <w:rPr>
                <w:rFonts w:asciiTheme="minorHAnsi" w:hAnsiTheme="minorHAnsi" w:cstheme="minorHAnsi"/>
                <w:b w:val="0"/>
                <w:bCs w:val="0"/>
                <w:sz w:val="20"/>
                <w:szCs w:val="20"/>
              </w:rPr>
            </w:pPr>
          </w:p>
          <w:p w14:paraId="472EF98F" w14:textId="7F24E2EE"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Ensure that GPs are aware of this recommendation through briefings, newsletters and training opportunities.</w:t>
            </w:r>
          </w:p>
          <w:p w14:paraId="4522BD78" w14:textId="60CB8BEB" w:rsidR="001D4494" w:rsidRPr="00E04BE1" w:rsidRDefault="001D4494" w:rsidP="000C5D9F">
            <w:pPr>
              <w:pStyle w:val="Heading1"/>
              <w:spacing w:before="1"/>
              <w:ind w:left="0"/>
              <w:rPr>
                <w:rFonts w:asciiTheme="minorHAnsi" w:hAnsiTheme="minorHAnsi" w:cstheme="minorHAnsi"/>
                <w:b w:val="0"/>
                <w:bCs w:val="0"/>
                <w:sz w:val="20"/>
                <w:szCs w:val="20"/>
              </w:rPr>
            </w:pPr>
          </w:p>
          <w:p w14:paraId="7BC3A2B7" w14:textId="4E1A01D5"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Presentation at GP adult safeguarding forum on 8</w:t>
            </w:r>
            <w:r w:rsidRPr="00E04BE1">
              <w:rPr>
                <w:rFonts w:asciiTheme="minorHAnsi" w:hAnsiTheme="minorHAnsi" w:cstheme="minorHAnsi"/>
                <w:b w:val="0"/>
                <w:bCs w:val="0"/>
                <w:sz w:val="20"/>
                <w:szCs w:val="20"/>
                <w:vertAlign w:val="superscript"/>
              </w:rPr>
              <w:t>th</w:t>
            </w:r>
            <w:r w:rsidRPr="00E04BE1">
              <w:rPr>
                <w:rFonts w:asciiTheme="minorHAnsi" w:hAnsiTheme="minorHAnsi" w:cstheme="minorHAnsi"/>
                <w:b w:val="0"/>
                <w:bCs w:val="0"/>
                <w:sz w:val="20"/>
                <w:szCs w:val="20"/>
              </w:rPr>
              <w:t xml:space="preserve"> July</w:t>
            </w:r>
          </w:p>
          <w:p w14:paraId="7681A336" w14:textId="0D0F7499"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1529" w:type="dxa"/>
            <w:shd w:val="clear" w:color="auto" w:fill="auto"/>
          </w:tcPr>
          <w:p w14:paraId="665F3A4A" w14:textId="58316063"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CCG: Designated Nurse &amp; Named GP for Adult Safeguarding</w:t>
            </w:r>
          </w:p>
        </w:tc>
        <w:tc>
          <w:tcPr>
            <w:tcW w:w="1205" w:type="dxa"/>
            <w:shd w:val="clear" w:color="auto" w:fill="auto"/>
          </w:tcPr>
          <w:p w14:paraId="6E4C0378" w14:textId="33FC396F"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752E0395"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22FD6DC3"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62F8CCBD" w14:textId="6F68895C" w:rsidTr="00257AC6">
        <w:tc>
          <w:tcPr>
            <w:tcW w:w="945" w:type="dxa"/>
            <w:vMerge/>
            <w:shd w:val="clear" w:color="auto" w:fill="auto"/>
          </w:tcPr>
          <w:p w14:paraId="6B3FF350"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shd w:val="clear" w:color="auto" w:fill="auto"/>
          </w:tcPr>
          <w:p w14:paraId="0F66404C" w14:textId="77777777" w:rsidR="001D4494" w:rsidRPr="00E04BE1" w:rsidRDefault="001D4494" w:rsidP="000C5D9F">
            <w:pPr>
              <w:tabs>
                <w:tab w:val="left" w:pos="830"/>
              </w:tabs>
              <w:spacing w:before="72"/>
              <w:jc w:val="both"/>
              <w:rPr>
                <w:rFonts w:cstheme="minorHAnsi"/>
                <w:sz w:val="20"/>
                <w:szCs w:val="20"/>
              </w:rPr>
            </w:pPr>
            <w:r w:rsidRPr="00E04BE1">
              <w:rPr>
                <w:rFonts w:cstheme="minorHAnsi"/>
                <w:sz w:val="20"/>
                <w:szCs w:val="20"/>
              </w:rPr>
              <w:t>Where adults are diagnosed with both a mental illness as well as a physical disability, the need for ongoing suitable mental health support should be considered, subject to the clinical assessment of any relevant mental health practitioner. Such support should be reflected in any subsequent care planning</w:t>
            </w:r>
          </w:p>
        </w:tc>
        <w:tc>
          <w:tcPr>
            <w:tcW w:w="3794" w:type="dxa"/>
            <w:shd w:val="clear" w:color="auto" w:fill="auto"/>
          </w:tcPr>
          <w:p w14:paraId="56175613" w14:textId="49B07E25"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Ensure that GPs are aware of this recommendation through briefings, newsletters and training opportunities.</w:t>
            </w:r>
          </w:p>
          <w:p w14:paraId="12E4395F" w14:textId="77777777" w:rsidR="001D4494" w:rsidRPr="00E04BE1" w:rsidRDefault="001D4494" w:rsidP="000C5D9F">
            <w:pPr>
              <w:pStyle w:val="Heading1"/>
              <w:spacing w:before="1"/>
              <w:ind w:left="0"/>
              <w:rPr>
                <w:rFonts w:asciiTheme="minorHAnsi" w:hAnsiTheme="minorHAnsi" w:cstheme="minorHAnsi"/>
                <w:b w:val="0"/>
                <w:bCs w:val="0"/>
                <w:sz w:val="20"/>
                <w:szCs w:val="20"/>
              </w:rPr>
            </w:pPr>
          </w:p>
          <w:p w14:paraId="65AA19E6"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Presentation at GP adult safeguarding forum on 8</w:t>
            </w:r>
            <w:r w:rsidRPr="00E04BE1">
              <w:rPr>
                <w:rFonts w:asciiTheme="minorHAnsi" w:hAnsiTheme="minorHAnsi" w:cstheme="minorHAnsi"/>
                <w:b w:val="0"/>
                <w:bCs w:val="0"/>
                <w:sz w:val="20"/>
                <w:szCs w:val="20"/>
                <w:vertAlign w:val="superscript"/>
              </w:rPr>
              <w:t>th</w:t>
            </w:r>
            <w:r w:rsidRPr="00E04BE1">
              <w:rPr>
                <w:rFonts w:asciiTheme="minorHAnsi" w:hAnsiTheme="minorHAnsi" w:cstheme="minorHAnsi"/>
                <w:b w:val="0"/>
                <w:bCs w:val="0"/>
                <w:sz w:val="20"/>
                <w:szCs w:val="20"/>
              </w:rPr>
              <w:t xml:space="preserve"> July</w:t>
            </w:r>
          </w:p>
          <w:p w14:paraId="60BD68C4"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1529" w:type="dxa"/>
            <w:shd w:val="clear" w:color="auto" w:fill="auto"/>
          </w:tcPr>
          <w:p w14:paraId="5D691A24" w14:textId="30E4361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CCG: Designated Nurse &amp; Named GP for Adult Safeguarding</w:t>
            </w:r>
          </w:p>
        </w:tc>
        <w:tc>
          <w:tcPr>
            <w:tcW w:w="1205" w:type="dxa"/>
            <w:shd w:val="clear" w:color="auto" w:fill="auto"/>
          </w:tcPr>
          <w:p w14:paraId="241CC959" w14:textId="6D9AC24F"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7F650EE1"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186A7F1E"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28C4F12C" w14:textId="489B5C91" w:rsidTr="00257AC6">
        <w:tc>
          <w:tcPr>
            <w:tcW w:w="945" w:type="dxa"/>
            <w:vMerge/>
            <w:shd w:val="clear" w:color="auto" w:fill="auto"/>
          </w:tcPr>
          <w:p w14:paraId="7DD36A5D"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shd w:val="clear" w:color="auto" w:fill="auto"/>
          </w:tcPr>
          <w:p w14:paraId="32A46DB8" w14:textId="486200F7" w:rsidR="001D4494" w:rsidRPr="00E04BE1" w:rsidRDefault="001D4494" w:rsidP="000C5D9F">
            <w:pPr>
              <w:tabs>
                <w:tab w:val="left" w:pos="830"/>
              </w:tabs>
              <w:spacing w:before="72"/>
              <w:jc w:val="both"/>
              <w:rPr>
                <w:rFonts w:cstheme="minorHAnsi"/>
                <w:sz w:val="20"/>
                <w:szCs w:val="20"/>
              </w:rPr>
            </w:pPr>
            <w:r w:rsidRPr="00E04BE1">
              <w:rPr>
                <w:rFonts w:cstheme="minorHAnsi"/>
                <w:sz w:val="20"/>
                <w:szCs w:val="20"/>
              </w:rPr>
              <w:t xml:space="preserve">If an adult is known to suffer a long-term </w:t>
            </w:r>
            <w:r w:rsidRPr="00F36F55">
              <w:rPr>
                <w:rFonts w:cstheme="minorHAnsi"/>
                <w:sz w:val="20"/>
                <w:szCs w:val="20"/>
              </w:rPr>
              <w:t>neurological condition associated with cognitive decline</w:t>
            </w:r>
            <w:r w:rsidRPr="00E04BE1">
              <w:rPr>
                <w:rFonts w:cstheme="minorHAnsi"/>
                <w:sz w:val="20"/>
                <w:szCs w:val="20"/>
              </w:rPr>
              <w:t xml:space="preserve">, this may indicate that their capacity is in doubt and therefore should prompt consideration of a mental </w:t>
            </w:r>
            <w:r w:rsidRPr="00E04BE1">
              <w:rPr>
                <w:rFonts w:cstheme="minorHAnsi"/>
                <w:sz w:val="20"/>
                <w:szCs w:val="20"/>
              </w:rPr>
              <w:lastRenderedPageBreak/>
              <w:t>capacity assessment, undertaken by the responsible decision-maker.</w:t>
            </w:r>
          </w:p>
        </w:tc>
        <w:tc>
          <w:tcPr>
            <w:tcW w:w="3794" w:type="dxa"/>
            <w:shd w:val="clear" w:color="auto" w:fill="auto"/>
          </w:tcPr>
          <w:p w14:paraId="43DF7AC0" w14:textId="5879A283"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Ensure that GPs are aware of this recommendation through briefings, newsletters and training opportunities.</w:t>
            </w:r>
          </w:p>
          <w:p w14:paraId="4D5C73D9" w14:textId="6ED53A20" w:rsidR="001D4494" w:rsidRPr="00E04BE1" w:rsidRDefault="001D4494" w:rsidP="000C5D9F">
            <w:pPr>
              <w:pStyle w:val="Heading1"/>
              <w:spacing w:before="1"/>
              <w:ind w:left="0"/>
              <w:rPr>
                <w:rFonts w:asciiTheme="minorHAnsi" w:hAnsiTheme="minorHAnsi" w:cstheme="minorHAnsi"/>
                <w:b w:val="0"/>
                <w:bCs w:val="0"/>
                <w:sz w:val="20"/>
                <w:szCs w:val="20"/>
              </w:rPr>
            </w:pPr>
          </w:p>
          <w:p w14:paraId="0523C5DB" w14:textId="7F9BCEE6"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Presentation at GP adult safeguarding forum on 8</w:t>
            </w:r>
            <w:r w:rsidRPr="00E04BE1">
              <w:rPr>
                <w:rFonts w:asciiTheme="minorHAnsi" w:hAnsiTheme="minorHAnsi" w:cstheme="minorHAnsi"/>
                <w:b w:val="0"/>
                <w:bCs w:val="0"/>
                <w:sz w:val="20"/>
                <w:szCs w:val="20"/>
                <w:vertAlign w:val="superscript"/>
              </w:rPr>
              <w:t>th</w:t>
            </w:r>
            <w:r w:rsidRPr="00E04BE1">
              <w:rPr>
                <w:rFonts w:asciiTheme="minorHAnsi" w:hAnsiTheme="minorHAnsi" w:cstheme="minorHAnsi"/>
                <w:b w:val="0"/>
                <w:bCs w:val="0"/>
                <w:sz w:val="20"/>
                <w:szCs w:val="20"/>
              </w:rPr>
              <w:t xml:space="preserve"> July</w:t>
            </w:r>
          </w:p>
          <w:p w14:paraId="6911F01A" w14:textId="584E033F"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1529" w:type="dxa"/>
            <w:shd w:val="clear" w:color="auto" w:fill="auto"/>
          </w:tcPr>
          <w:p w14:paraId="7035017D" w14:textId="031DDFCF"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lastRenderedPageBreak/>
              <w:t>CCG: Designated Nurse &amp; Named GP for Adult Safeguarding</w:t>
            </w:r>
          </w:p>
        </w:tc>
        <w:tc>
          <w:tcPr>
            <w:tcW w:w="1205" w:type="dxa"/>
            <w:shd w:val="clear" w:color="auto" w:fill="auto"/>
          </w:tcPr>
          <w:p w14:paraId="3C8715C4" w14:textId="0F75E28D"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255AD5B3"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0B3B0923"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31EE1D12" w14:textId="72DA2AC0" w:rsidTr="00F36F55">
        <w:tc>
          <w:tcPr>
            <w:tcW w:w="945" w:type="dxa"/>
            <w:vMerge w:val="restart"/>
          </w:tcPr>
          <w:p w14:paraId="2664E0DB"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5</w:t>
            </w:r>
          </w:p>
        </w:tc>
        <w:tc>
          <w:tcPr>
            <w:tcW w:w="3625" w:type="dxa"/>
          </w:tcPr>
          <w:p w14:paraId="0712EA0F" w14:textId="77777777" w:rsidR="001D4494" w:rsidRPr="00E04BE1" w:rsidRDefault="001D4494" w:rsidP="000C5D9F">
            <w:pPr>
              <w:pStyle w:val="Heading1"/>
              <w:spacing w:before="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a safeguarding enquiry has begun, and a criminal investigation is also undertaken, there is a plan for information sharing and cooperation, also an agreement whether both processes can appropriately continue to ensure neither process is unnecessarily delayed.</w:t>
            </w:r>
          </w:p>
        </w:tc>
        <w:tc>
          <w:tcPr>
            <w:tcW w:w="3794" w:type="dxa"/>
          </w:tcPr>
          <w:p w14:paraId="1C0D4C82" w14:textId="7937BF27" w:rsidR="00F36F55" w:rsidRPr="00F36F55" w:rsidRDefault="00F36F55" w:rsidP="00F36F55">
            <w:pPr>
              <w:rPr>
                <w:rFonts w:cstheme="minorHAnsi"/>
                <w:sz w:val="20"/>
                <w:szCs w:val="20"/>
              </w:rPr>
            </w:pPr>
            <w:r w:rsidRPr="00F36F55">
              <w:rPr>
                <w:rFonts w:cstheme="minorHAnsi"/>
                <w:sz w:val="20"/>
                <w:szCs w:val="20"/>
              </w:rPr>
              <w:t xml:space="preserve">The </w:t>
            </w:r>
            <w:r w:rsidRPr="00F36F55">
              <w:rPr>
                <w:rFonts w:cstheme="minorHAnsi"/>
                <w:sz w:val="20"/>
                <w:szCs w:val="20"/>
              </w:rPr>
              <w:t>DI at the meeting would take ownership of liaising with the OIC or SIO to clarify the position of what can and can’t be shared in line with the Section 42 enquiry request.</w:t>
            </w:r>
          </w:p>
          <w:p w14:paraId="7BA9F346" w14:textId="77437E0F" w:rsidR="001D4494" w:rsidRPr="00E04BE1" w:rsidRDefault="001D4494" w:rsidP="000C5D9F">
            <w:pPr>
              <w:pStyle w:val="Heading1"/>
              <w:spacing w:before="1"/>
              <w:ind w:left="0"/>
              <w:rPr>
                <w:rFonts w:asciiTheme="minorHAnsi" w:hAnsiTheme="minorHAnsi" w:cstheme="minorHAnsi"/>
                <w:b w:val="0"/>
                <w:bCs w:val="0"/>
                <w:sz w:val="20"/>
                <w:szCs w:val="20"/>
              </w:rPr>
            </w:pPr>
            <w:r w:rsidRPr="00F36F55">
              <w:rPr>
                <w:rFonts w:asciiTheme="minorHAnsi" w:hAnsiTheme="minorHAnsi" w:cstheme="minorHAnsi"/>
                <w:b w:val="0"/>
                <w:bCs w:val="0"/>
                <w:sz w:val="20"/>
                <w:szCs w:val="20"/>
              </w:rPr>
              <w:t>Safeguarding Adults Policy</w:t>
            </w:r>
            <w:r w:rsidRPr="00E04BE1">
              <w:rPr>
                <w:rFonts w:asciiTheme="minorHAnsi" w:hAnsiTheme="minorHAnsi" w:cstheme="minorHAnsi"/>
                <w:b w:val="0"/>
                <w:bCs w:val="0"/>
                <w:sz w:val="20"/>
                <w:szCs w:val="20"/>
              </w:rPr>
              <w:t xml:space="preserve"> to be amended to reflect this. </w:t>
            </w:r>
          </w:p>
        </w:tc>
        <w:tc>
          <w:tcPr>
            <w:tcW w:w="1529" w:type="dxa"/>
          </w:tcPr>
          <w:p w14:paraId="41E6BC9D"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RBG/ Police </w:t>
            </w:r>
          </w:p>
        </w:tc>
        <w:tc>
          <w:tcPr>
            <w:tcW w:w="1205" w:type="dxa"/>
          </w:tcPr>
          <w:p w14:paraId="4BDEBA5C" w14:textId="7901ED88"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FFC000"/>
          </w:tcPr>
          <w:p w14:paraId="3AA047C5"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36A6F9F1"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1CA983A1" w14:textId="3ECF657F" w:rsidTr="00F36F55">
        <w:tc>
          <w:tcPr>
            <w:tcW w:w="945" w:type="dxa"/>
            <w:vMerge/>
          </w:tcPr>
          <w:p w14:paraId="16DE007A"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5DC4FFFE" w14:textId="77777777" w:rsidR="001D4494" w:rsidRPr="00E04BE1" w:rsidRDefault="001D4494" w:rsidP="000C5D9F">
            <w:pPr>
              <w:pStyle w:val="Heading1"/>
              <w:spacing w:before="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Where there is a plan for these parallel processes to occur together, this includes key markers for any non-criminal enquiries as set out by police investigation team to avoid sub judice.</w:t>
            </w:r>
          </w:p>
        </w:tc>
        <w:tc>
          <w:tcPr>
            <w:tcW w:w="3794" w:type="dxa"/>
          </w:tcPr>
          <w:p w14:paraId="699D8B89" w14:textId="7319F172" w:rsidR="001D4494" w:rsidRPr="00F36F55" w:rsidRDefault="00F36F55" w:rsidP="000C5D9F">
            <w:pPr>
              <w:pStyle w:val="Heading1"/>
              <w:spacing w:before="1"/>
              <w:ind w:left="0"/>
              <w:rPr>
                <w:rFonts w:asciiTheme="minorHAnsi" w:hAnsiTheme="minorHAnsi" w:cstheme="minorHAnsi"/>
                <w:b w:val="0"/>
                <w:bCs w:val="0"/>
                <w:sz w:val="20"/>
                <w:szCs w:val="20"/>
              </w:rPr>
            </w:pPr>
            <w:r w:rsidRPr="00F36F55">
              <w:rPr>
                <w:rFonts w:asciiTheme="minorHAnsi" w:hAnsiTheme="minorHAnsi" w:cstheme="minorHAnsi"/>
                <w:b w:val="0"/>
                <w:bCs w:val="0"/>
                <w:sz w:val="20"/>
                <w:szCs w:val="20"/>
              </w:rPr>
              <w:t xml:space="preserve">Case conferences to be held in cases where both processes will run parrel and Police to draw up clear markers and timescales </w:t>
            </w:r>
            <w:proofErr w:type="gramStart"/>
            <w:r w:rsidRPr="00F36F55">
              <w:rPr>
                <w:rFonts w:asciiTheme="minorHAnsi" w:hAnsiTheme="minorHAnsi" w:cstheme="minorHAnsi"/>
                <w:b w:val="0"/>
                <w:bCs w:val="0"/>
                <w:sz w:val="20"/>
                <w:szCs w:val="20"/>
              </w:rPr>
              <w:t>In</w:t>
            </w:r>
            <w:proofErr w:type="gramEnd"/>
            <w:r w:rsidRPr="00F36F55">
              <w:rPr>
                <w:rFonts w:asciiTheme="minorHAnsi" w:hAnsiTheme="minorHAnsi" w:cstheme="minorHAnsi"/>
                <w:b w:val="0"/>
                <w:bCs w:val="0"/>
                <w:sz w:val="20"/>
                <w:szCs w:val="20"/>
              </w:rPr>
              <w:t xml:space="preserve"> relation to a s42 enquiry. Enquiry officer and Police officer to maintain close liaison throughout the proces</w:t>
            </w:r>
            <w:r>
              <w:rPr>
                <w:rFonts w:asciiTheme="minorHAnsi" w:hAnsiTheme="minorHAnsi" w:cstheme="minorHAnsi"/>
                <w:b w:val="0"/>
                <w:bCs w:val="0"/>
                <w:sz w:val="20"/>
                <w:szCs w:val="20"/>
              </w:rPr>
              <w:t xml:space="preserve">s. </w:t>
            </w:r>
          </w:p>
        </w:tc>
        <w:tc>
          <w:tcPr>
            <w:tcW w:w="1529" w:type="dxa"/>
          </w:tcPr>
          <w:p w14:paraId="5BFF05EC" w14:textId="00007886"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Police </w:t>
            </w:r>
          </w:p>
        </w:tc>
        <w:tc>
          <w:tcPr>
            <w:tcW w:w="1205" w:type="dxa"/>
          </w:tcPr>
          <w:p w14:paraId="619311F0"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766" w:type="dxa"/>
            <w:shd w:val="clear" w:color="auto" w:fill="92D050"/>
          </w:tcPr>
          <w:p w14:paraId="622410E8"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357595E6"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29E4A3E2" w14:textId="7B046D72" w:rsidTr="00F36F55">
        <w:tc>
          <w:tcPr>
            <w:tcW w:w="945" w:type="dxa"/>
            <w:vMerge/>
          </w:tcPr>
          <w:p w14:paraId="2E2B67D2"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523A9CD5" w14:textId="77777777" w:rsidR="001D4494" w:rsidRPr="00E04BE1" w:rsidRDefault="001D4494" w:rsidP="000C5D9F">
            <w:pPr>
              <w:pStyle w:val="Heading1"/>
              <w:spacing w:before="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The final decision as to what can be done as part of a Section 42 Enquiry and what areas that need to be avoided will be the decision of the Officer in Charge of the Criminal Process.</w:t>
            </w:r>
          </w:p>
        </w:tc>
        <w:tc>
          <w:tcPr>
            <w:tcW w:w="3794" w:type="dxa"/>
          </w:tcPr>
          <w:p w14:paraId="2D9F8467" w14:textId="5AE2ED01"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Safeguarding Adults Policy to be amended to reflect this.</w:t>
            </w:r>
          </w:p>
        </w:tc>
        <w:tc>
          <w:tcPr>
            <w:tcW w:w="1529" w:type="dxa"/>
          </w:tcPr>
          <w:p w14:paraId="5BA721E8" w14:textId="402BB115"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RBG/ Police </w:t>
            </w:r>
          </w:p>
        </w:tc>
        <w:tc>
          <w:tcPr>
            <w:tcW w:w="1205" w:type="dxa"/>
          </w:tcPr>
          <w:p w14:paraId="35CCADDA" w14:textId="3A8BAEBB"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FFC000"/>
          </w:tcPr>
          <w:p w14:paraId="0836659B"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73E7A6E5"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4AA1938E" w14:textId="18FAA265" w:rsidTr="0008660E">
        <w:tc>
          <w:tcPr>
            <w:tcW w:w="945" w:type="dxa"/>
          </w:tcPr>
          <w:p w14:paraId="436FCDE6"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6</w:t>
            </w:r>
          </w:p>
        </w:tc>
        <w:tc>
          <w:tcPr>
            <w:tcW w:w="3625" w:type="dxa"/>
          </w:tcPr>
          <w:p w14:paraId="333ABE42" w14:textId="77777777" w:rsidR="001D4494" w:rsidRPr="00E04BE1" w:rsidRDefault="001D4494" w:rsidP="000C5D9F">
            <w:pPr>
              <w:pStyle w:val="Heading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Safeguarding Enquiries which identify significant abuse/neglect by a care provider include a plan for service level improvements, which are proportionate to the level of harm and overseen by an appropriate body (for example the provider concerns process, commissioners, or CQC).</w:t>
            </w:r>
          </w:p>
        </w:tc>
        <w:tc>
          <w:tcPr>
            <w:tcW w:w="3794" w:type="dxa"/>
          </w:tcPr>
          <w:p w14:paraId="38CDF5B0" w14:textId="53C3D5C4"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Ensure robust provider </w:t>
            </w:r>
            <w:r w:rsidR="001D4494" w:rsidRPr="00E04BE1">
              <w:rPr>
                <w:rFonts w:asciiTheme="minorHAnsi" w:hAnsiTheme="minorHAnsi" w:cstheme="minorHAnsi"/>
                <w:b w:val="0"/>
                <w:bCs w:val="0"/>
                <w:sz w:val="20"/>
                <w:szCs w:val="20"/>
              </w:rPr>
              <w:t>concerns process</w:t>
            </w:r>
            <w:r>
              <w:rPr>
                <w:rFonts w:asciiTheme="minorHAnsi" w:hAnsiTheme="minorHAnsi" w:cstheme="minorHAnsi"/>
                <w:b w:val="0"/>
                <w:bCs w:val="0"/>
                <w:sz w:val="20"/>
                <w:szCs w:val="20"/>
              </w:rPr>
              <w:t xml:space="preserve">es and sharing information is in place between adult social care, commissioners and service providers. </w:t>
            </w:r>
          </w:p>
          <w:p w14:paraId="6FA1AB50" w14:textId="6E6BCE15" w:rsidR="001D4494" w:rsidRPr="00E04BE1" w:rsidRDefault="001D4494" w:rsidP="0008660E">
            <w:pPr>
              <w:spacing w:line="252" w:lineRule="auto"/>
              <w:contextualSpacing/>
              <w:rPr>
                <w:rFonts w:cstheme="minorHAnsi"/>
                <w:b/>
                <w:bCs/>
                <w:sz w:val="20"/>
                <w:szCs w:val="20"/>
                <w:lang w:val="en-US"/>
              </w:rPr>
            </w:pPr>
          </w:p>
        </w:tc>
        <w:tc>
          <w:tcPr>
            <w:tcW w:w="1529" w:type="dxa"/>
          </w:tcPr>
          <w:p w14:paraId="283604E4" w14:textId="1B2D3C1A"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RBG</w:t>
            </w:r>
          </w:p>
        </w:tc>
        <w:tc>
          <w:tcPr>
            <w:tcW w:w="1205" w:type="dxa"/>
          </w:tcPr>
          <w:p w14:paraId="3B6656CD" w14:textId="69B076EB"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Complete </w:t>
            </w:r>
          </w:p>
        </w:tc>
        <w:tc>
          <w:tcPr>
            <w:tcW w:w="766" w:type="dxa"/>
            <w:shd w:val="clear" w:color="auto" w:fill="92D050"/>
          </w:tcPr>
          <w:p w14:paraId="601CC43F" w14:textId="6BC36A54"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Green </w:t>
            </w:r>
          </w:p>
        </w:tc>
        <w:tc>
          <w:tcPr>
            <w:tcW w:w="3587" w:type="dxa"/>
          </w:tcPr>
          <w:p w14:paraId="4FEC1CE8" w14:textId="7F0E1469" w:rsidR="0008660E" w:rsidRPr="00E04BE1" w:rsidRDefault="0008660E" w:rsidP="0008660E">
            <w:pPr>
              <w:spacing w:after="160" w:line="252" w:lineRule="auto"/>
              <w:contextualSpacing/>
              <w:rPr>
                <w:rFonts w:cstheme="minorHAnsi"/>
                <w:sz w:val="20"/>
                <w:szCs w:val="20"/>
                <w:lang w:val="en-US"/>
              </w:rPr>
            </w:pPr>
            <w:r>
              <w:rPr>
                <w:rFonts w:cstheme="minorHAnsi"/>
                <w:sz w:val="20"/>
                <w:szCs w:val="20"/>
                <w:lang w:val="en-US"/>
              </w:rPr>
              <w:t>In addition to the Provider concerns process, t</w:t>
            </w:r>
            <w:r w:rsidRPr="00E04BE1">
              <w:rPr>
                <w:rFonts w:cstheme="minorHAnsi"/>
                <w:sz w:val="20"/>
                <w:szCs w:val="20"/>
                <w:lang w:val="en-US"/>
              </w:rPr>
              <w:t xml:space="preserve">he Safeguarding Adults Team convenes regular (monthly) meetings with the Contracts and Commissioning team to review concerns and share intelligence relating to quality alerts and safeguarding concerning providers.  In </w:t>
            </w:r>
            <w:proofErr w:type="gramStart"/>
            <w:r w:rsidRPr="00E04BE1">
              <w:rPr>
                <w:rFonts w:cstheme="minorHAnsi"/>
                <w:sz w:val="20"/>
                <w:szCs w:val="20"/>
                <w:lang w:val="en-US"/>
              </w:rPr>
              <w:t>addition</w:t>
            </w:r>
            <w:proofErr w:type="gramEnd"/>
            <w:r w:rsidRPr="00E04BE1">
              <w:rPr>
                <w:rFonts w:cstheme="minorHAnsi"/>
                <w:sz w:val="20"/>
                <w:szCs w:val="20"/>
                <w:lang w:val="en-US"/>
              </w:rPr>
              <w:t xml:space="preserve"> the safeguarding team receives and reviews data on a weekly basis concerning safeguarding concerns </w:t>
            </w:r>
            <w:r w:rsidRPr="00E04BE1">
              <w:rPr>
                <w:rFonts w:cstheme="minorHAnsi"/>
                <w:sz w:val="20"/>
                <w:szCs w:val="20"/>
                <w:lang w:val="en-US"/>
              </w:rPr>
              <w:lastRenderedPageBreak/>
              <w:t>relating to all provider services commissioned by the borough.</w:t>
            </w:r>
          </w:p>
          <w:p w14:paraId="6234B243" w14:textId="77777777" w:rsidR="001D4494" w:rsidRPr="0008660E" w:rsidRDefault="001D4494" w:rsidP="000C5D9F">
            <w:pPr>
              <w:pStyle w:val="Heading1"/>
              <w:spacing w:before="1"/>
              <w:ind w:left="0"/>
              <w:rPr>
                <w:rFonts w:asciiTheme="minorHAnsi" w:hAnsiTheme="minorHAnsi" w:cstheme="minorHAnsi"/>
                <w:b w:val="0"/>
                <w:bCs w:val="0"/>
                <w:sz w:val="20"/>
                <w:szCs w:val="20"/>
                <w:lang w:val="en-US"/>
              </w:rPr>
            </w:pPr>
          </w:p>
        </w:tc>
      </w:tr>
      <w:tr w:rsidR="001D4494" w:rsidRPr="00E04BE1" w14:paraId="2A13F333" w14:textId="1AA7AFAD" w:rsidTr="0008660E">
        <w:tc>
          <w:tcPr>
            <w:tcW w:w="945" w:type="dxa"/>
          </w:tcPr>
          <w:p w14:paraId="33A6934A"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186D5C85" w14:textId="77777777" w:rsidR="001D4494" w:rsidRPr="00E04BE1" w:rsidRDefault="001D4494" w:rsidP="000C5D9F">
            <w:pPr>
              <w:pStyle w:val="Heading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That these recommendations are shared with any other provider to ensure that learning from one case can be applied to improve other similar services.</w:t>
            </w:r>
          </w:p>
          <w:p w14:paraId="36831D9A" w14:textId="77777777" w:rsidR="001D4494" w:rsidRPr="00E04BE1" w:rsidRDefault="001D4494" w:rsidP="000C5D9F">
            <w:pPr>
              <w:pStyle w:val="Heading1"/>
              <w:ind w:left="0"/>
              <w:jc w:val="both"/>
              <w:rPr>
                <w:rFonts w:asciiTheme="minorHAnsi" w:hAnsiTheme="minorHAnsi" w:cstheme="minorHAnsi"/>
                <w:b w:val="0"/>
                <w:bCs w:val="0"/>
                <w:sz w:val="20"/>
                <w:szCs w:val="20"/>
              </w:rPr>
            </w:pPr>
          </w:p>
        </w:tc>
        <w:tc>
          <w:tcPr>
            <w:tcW w:w="3794" w:type="dxa"/>
          </w:tcPr>
          <w:p w14:paraId="3B521F08" w14:textId="41744C41" w:rsidR="001D4494"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Commissioning will ensure actions are monitored through quality monitoring visits. </w:t>
            </w:r>
          </w:p>
          <w:p w14:paraId="259E3780" w14:textId="41C3F3D4" w:rsidR="001D4494" w:rsidRPr="00487607" w:rsidRDefault="001D4494" w:rsidP="000C5D9F">
            <w:pPr>
              <w:pStyle w:val="Heading1"/>
              <w:spacing w:before="1"/>
              <w:ind w:left="0"/>
              <w:rPr>
                <w:rFonts w:asciiTheme="minorHAnsi" w:hAnsiTheme="minorHAnsi" w:cstheme="minorHAnsi"/>
                <w:b w:val="0"/>
                <w:bCs w:val="0"/>
                <w:color w:val="7030A0"/>
                <w:sz w:val="20"/>
                <w:szCs w:val="20"/>
              </w:rPr>
            </w:pPr>
          </w:p>
          <w:p w14:paraId="156DED0D" w14:textId="322ED340" w:rsidR="001D4494" w:rsidRPr="00487607" w:rsidRDefault="001D4494" w:rsidP="000C5D9F">
            <w:pPr>
              <w:pStyle w:val="Heading1"/>
              <w:spacing w:before="1"/>
              <w:ind w:left="0"/>
              <w:rPr>
                <w:rFonts w:asciiTheme="minorHAnsi" w:hAnsiTheme="minorHAnsi" w:cstheme="minorHAnsi"/>
                <w:b w:val="0"/>
                <w:bCs w:val="0"/>
                <w:color w:val="7030A0"/>
                <w:sz w:val="20"/>
                <w:szCs w:val="20"/>
              </w:rPr>
            </w:pPr>
            <w:r w:rsidRPr="00487607">
              <w:rPr>
                <w:rFonts w:asciiTheme="minorHAnsi" w:hAnsiTheme="minorHAnsi" w:cstheme="minorHAnsi"/>
                <w:b w:val="0"/>
                <w:bCs w:val="0"/>
                <w:color w:val="7030A0"/>
                <w:sz w:val="20"/>
                <w:szCs w:val="20"/>
              </w:rPr>
              <w:t xml:space="preserve">Completed </w:t>
            </w:r>
          </w:p>
          <w:p w14:paraId="5F137B21" w14:textId="0D7ACE89"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1529" w:type="dxa"/>
          </w:tcPr>
          <w:p w14:paraId="09678732" w14:textId="26FC6383"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Safeguarding/ Commissioning </w:t>
            </w:r>
          </w:p>
        </w:tc>
        <w:tc>
          <w:tcPr>
            <w:tcW w:w="1205" w:type="dxa"/>
          </w:tcPr>
          <w:p w14:paraId="63BA3359" w14:textId="626384FB"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Complete Ongoing </w:t>
            </w:r>
          </w:p>
        </w:tc>
        <w:tc>
          <w:tcPr>
            <w:tcW w:w="766" w:type="dxa"/>
            <w:shd w:val="clear" w:color="auto" w:fill="92D050"/>
          </w:tcPr>
          <w:p w14:paraId="7950C148" w14:textId="183AB1B4"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Green </w:t>
            </w:r>
          </w:p>
        </w:tc>
        <w:tc>
          <w:tcPr>
            <w:tcW w:w="3587" w:type="dxa"/>
          </w:tcPr>
          <w:p w14:paraId="46D39546" w14:textId="4401D316" w:rsidR="001D4494" w:rsidRPr="0008660E" w:rsidRDefault="001D4494" w:rsidP="001D4494">
            <w:pPr>
              <w:rPr>
                <w:sz w:val="20"/>
                <w:szCs w:val="20"/>
              </w:rPr>
            </w:pPr>
            <w:r w:rsidRPr="0008660E">
              <w:rPr>
                <w:sz w:val="20"/>
                <w:szCs w:val="20"/>
              </w:rPr>
              <w:t xml:space="preserve">The </w:t>
            </w:r>
            <w:r w:rsidR="0008660E" w:rsidRPr="0008660E">
              <w:rPr>
                <w:sz w:val="20"/>
                <w:szCs w:val="20"/>
              </w:rPr>
              <w:t xml:space="preserve">SAR </w:t>
            </w:r>
            <w:proofErr w:type="gramStart"/>
            <w:r w:rsidR="0008660E" w:rsidRPr="0008660E">
              <w:rPr>
                <w:sz w:val="20"/>
                <w:szCs w:val="20"/>
              </w:rPr>
              <w:t xml:space="preserve">recommendations </w:t>
            </w:r>
            <w:r w:rsidRPr="0008660E">
              <w:rPr>
                <w:sz w:val="20"/>
                <w:szCs w:val="20"/>
              </w:rPr>
              <w:t xml:space="preserve"> are</w:t>
            </w:r>
            <w:proofErr w:type="gramEnd"/>
            <w:r w:rsidRPr="0008660E">
              <w:rPr>
                <w:sz w:val="20"/>
                <w:szCs w:val="20"/>
              </w:rPr>
              <w:t xml:space="preserve"> shared with the provider and deadlines put in place for any action that is required. – information around providers (including the outcome of monitoring visits </w:t>
            </w:r>
            <w:proofErr w:type="gramStart"/>
            <w:r w:rsidRPr="0008660E">
              <w:rPr>
                <w:sz w:val="20"/>
                <w:szCs w:val="20"/>
              </w:rPr>
              <w:t>etc )</w:t>
            </w:r>
            <w:proofErr w:type="gramEnd"/>
            <w:r w:rsidRPr="0008660E">
              <w:rPr>
                <w:sz w:val="20"/>
                <w:szCs w:val="20"/>
              </w:rPr>
              <w:t xml:space="preserve"> is shared monthly with care management teams </w:t>
            </w:r>
          </w:p>
          <w:p w14:paraId="2E0B3293"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r w:rsidR="001D4494" w:rsidRPr="00E04BE1" w14:paraId="17266644" w14:textId="7EA00A1D" w:rsidTr="0008660E">
        <w:tc>
          <w:tcPr>
            <w:tcW w:w="945" w:type="dxa"/>
          </w:tcPr>
          <w:p w14:paraId="5A65B1BC"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625" w:type="dxa"/>
          </w:tcPr>
          <w:p w14:paraId="0A605AB5" w14:textId="77777777" w:rsidR="001D4494" w:rsidRPr="00E04BE1" w:rsidRDefault="001D4494" w:rsidP="000C5D9F">
            <w:pPr>
              <w:pStyle w:val="Heading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Complaints Investigations which are upheld regarding the conduct of Adult Services are also sufficiently overseen to ensure any recommendations are implemented and effective.</w:t>
            </w:r>
          </w:p>
          <w:p w14:paraId="2D848A54" w14:textId="77777777" w:rsidR="001D4494" w:rsidRPr="00E04BE1" w:rsidRDefault="001D4494" w:rsidP="000C5D9F">
            <w:pPr>
              <w:pStyle w:val="Heading1"/>
              <w:jc w:val="both"/>
              <w:rPr>
                <w:rFonts w:asciiTheme="minorHAnsi" w:hAnsiTheme="minorHAnsi" w:cstheme="minorHAnsi"/>
                <w:b w:val="0"/>
                <w:bCs w:val="0"/>
                <w:sz w:val="20"/>
                <w:szCs w:val="20"/>
              </w:rPr>
            </w:pPr>
          </w:p>
        </w:tc>
        <w:tc>
          <w:tcPr>
            <w:tcW w:w="3794" w:type="dxa"/>
          </w:tcPr>
          <w:p w14:paraId="50BB7150" w14:textId="7EFD3C4A"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Actions taken in relation to recommendations are overseen by the RBG complaints team in consultation with the relevant senior assistant director. </w:t>
            </w:r>
          </w:p>
        </w:tc>
        <w:tc>
          <w:tcPr>
            <w:tcW w:w="1529" w:type="dxa"/>
          </w:tcPr>
          <w:p w14:paraId="41F6D7C3"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RBG (Complaints)</w:t>
            </w:r>
          </w:p>
        </w:tc>
        <w:tc>
          <w:tcPr>
            <w:tcW w:w="1205" w:type="dxa"/>
          </w:tcPr>
          <w:p w14:paraId="35C03B8B" w14:textId="70F16436"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Complete/ Green </w:t>
            </w:r>
          </w:p>
        </w:tc>
        <w:tc>
          <w:tcPr>
            <w:tcW w:w="766" w:type="dxa"/>
            <w:shd w:val="clear" w:color="auto" w:fill="92D050"/>
          </w:tcPr>
          <w:p w14:paraId="2AB905F6" w14:textId="0B88FA15"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Green </w:t>
            </w:r>
          </w:p>
        </w:tc>
        <w:tc>
          <w:tcPr>
            <w:tcW w:w="3587" w:type="dxa"/>
          </w:tcPr>
          <w:p w14:paraId="5CB0FD22" w14:textId="11C0A521" w:rsidR="001D4494" w:rsidRPr="00E04BE1" w:rsidRDefault="0008660E" w:rsidP="000C5D9F">
            <w:pPr>
              <w:pStyle w:val="Heading1"/>
              <w:spacing w:before="1"/>
              <w:ind w:left="0"/>
              <w:rPr>
                <w:rFonts w:asciiTheme="minorHAnsi" w:hAnsiTheme="minorHAnsi" w:cstheme="minorHAnsi"/>
                <w:b w:val="0"/>
                <w:bCs w:val="0"/>
                <w:sz w:val="20"/>
                <w:szCs w:val="20"/>
              </w:rPr>
            </w:pPr>
            <w:r>
              <w:rPr>
                <w:rFonts w:asciiTheme="minorHAnsi" w:hAnsiTheme="minorHAnsi" w:cstheme="minorHAnsi"/>
                <w:b w:val="0"/>
                <w:bCs w:val="0"/>
                <w:sz w:val="20"/>
                <w:szCs w:val="20"/>
              </w:rPr>
              <w:t xml:space="preserve">Overseen and implemented by the Complaints team. </w:t>
            </w:r>
          </w:p>
        </w:tc>
      </w:tr>
      <w:tr w:rsidR="001D4494" w:rsidRPr="00E04BE1" w14:paraId="6C3106CA" w14:textId="0CEBF246" w:rsidTr="00257AC6">
        <w:trPr>
          <w:trHeight w:val="2083"/>
        </w:trPr>
        <w:tc>
          <w:tcPr>
            <w:tcW w:w="945" w:type="dxa"/>
            <w:shd w:val="clear" w:color="auto" w:fill="auto"/>
          </w:tcPr>
          <w:p w14:paraId="372E0583" w14:textId="77777777"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7</w:t>
            </w:r>
          </w:p>
        </w:tc>
        <w:tc>
          <w:tcPr>
            <w:tcW w:w="3625" w:type="dxa"/>
            <w:shd w:val="clear" w:color="auto" w:fill="auto"/>
          </w:tcPr>
          <w:p w14:paraId="7B963F03" w14:textId="7598D4CB" w:rsidR="001D4494" w:rsidRPr="00E04BE1" w:rsidRDefault="001D4494" w:rsidP="000C5D9F">
            <w:pPr>
              <w:pStyle w:val="Heading1"/>
              <w:spacing w:before="1"/>
              <w:jc w:val="both"/>
              <w:rPr>
                <w:rFonts w:asciiTheme="minorHAnsi" w:hAnsiTheme="minorHAnsi" w:cstheme="minorHAnsi"/>
                <w:b w:val="0"/>
                <w:bCs w:val="0"/>
                <w:sz w:val="20"/>
                <w:szCs w:val="20"/>
              </w:rPr>
            </w:pPr>
            <w:r w:rsidRPr="00E04BE1">
              <w:rPr>
                <w:rFonts w:asciiTheme="minorHAnsi" w:hAnsiTheme="minorHAnsi" w:cstheme="minorHAnsi"/>
                <w:b w:val="0"/>
                <w:bCs w:val="0"/>
                <w:sz w:val="20"/>
                <w:szCs w:val="20"/>
              </w:rPr>
              <w:t>That any safeguarding enquiry undertaken into neglect or abuse, post-death of the adult, is communicated to the relevant medical examiner and is then included in the reporting requirements for the medical examiner to report the death to the coroner for consideration of the cause of death.</w:t>
            </w:r>
          </w:p>
        </w:tc>
        <w:tc>
          <w:tcPr>
            <w:tcW w:w="3794" w:type="dxa"/>
            <w:shd w:val="clear" w:color="auto" w:fill="auto"/>
          </w:tcPr>
          <w:p w14:paraId="54C082B1" w14:textId="399A3A9A"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 xml:space="preserve">CCG to ensure that relevant health services are aware of the requirements of the Notification of Death Regulations (2019) to report the death to the </w:t>
            </w:r>
            <w:proofErr w:type="gramStart"/>
            <w:r w:rsidRPr="00E04BE1">
              <w:rPr>
                <w:rFonts w:asciiTheme="minorHAnsi" w:hAnsiTheme="minorHAnsi" w:cstheme="minorHAnsi"/>
                <w:b w:val="0"/>
                <w:bCs w:val="0"/>
                <w:sz w:val="20"/>
                <w:szCs w:val="20"/>
              </w:rPr>
              <w:t>Coroner</w:t>
            </w:r>
            <w:proofErr w:type="gramEnd"/>
            <w:r w:rsidRPr="00E04BE1">
              <w:rPr>
                <w:rFonts w:asciiTheme="minorHAnsi" w:hAnsiTheme="minorHAnsi" w:cstheme="minorHAnsi"/>
                <w:b w:val="0"/>
                <w:bCs w:val="0"/>
                <w:sz w:val="20"/>
                <w:szCs w:val="20"/>
              </w:rPr>
              <w:t xml:space="preserve"> if the death was due to neglect or self-neglect.</w:t>
            </w:r>
          </w:p>
          <w:p w14:paraId="6CC6F6F1" w14:textId="27FC62F4" w:rsidR="001D4494" w:rsidRPr="00E04BE1" w:rsidRDefault="001D4494" w:rsidP="000C5D9F">
            <w:pPr>
              <w:pStyle w:val="Heading1"/>
              <w:spacing w:before="1"/>
              <w:ind w:left="0"/>
              <w:rPr>
                <w:rFonts w:asciiTheme="minorHAnsi" w:hAnsiTheme="minorHAnsi" w:cstheme="minorHAnsi"/>
                <w:b w:val="0"/>
                <w:bCs w:val="0"/>
                <w:sz w:val="20"/>
                <w:szCs w:val="20"/>
              </w:rPr>
            </w:pPr>
          </w:p>
          <w:p w14:paraId="4DFC60C8" w14:textId="68C515BC"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Ensure that GPs are aware of these regulations through briefings, newsletters and training opportunities.</w:t>
            </w:r>
          </w:p>
        </w:tc>
        <w:tc>
          <w:tcPr>
            <w:tcW w:w="1529" w:type="dxa"/>
            <w:shd w:val="clear" w:color="auto" w:fill="auto"/>
          </w:tcPr>
          <w:p w14:paraId="6619BAE3" w14:textId="36A730E4"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CCG: Designated Nurse &amp; Named GP for Adult Safeguarding</w:t>
            </w:r>
          </w:p>
        </w:tc>
        <w:tc>
          <w:tcPr>
            <w:tcW w:w="1205" w:type="dxa"/>
            <w:shd w:val="clear" w:color="auto" w:fill="auto"/>
          </w:tcPr>
          <w:p w14:paraId="04237554" w14:textId="4393504A" w:rsidR="001D4494" w:rsidRPr="00E04BE1" w:rsidRDefault="001D4494" w:rsidP="000C5D9F">
            <w:pPr>
              <w:pStyle w:val="Heading1"/>
              <w:spacing w:before="1"/>
              <w:ind w:left="0"/>
              <w:rPr>
                <w:rFonts w:asciiTheme="minorHAnsi" w:hAnsiTheme="minorHAnsi" w:cstheme="minorHAnsi"/>
                <w:b w:val="0"/>
                <w:bCs w:val="0"/>
                <w:sz w:val="20"/>
                <w:szCs w:val="20"/>
              </w:rPr>
            </w:pPr>
            <w:r w:rsidRPr="00E04BE1">
              <w:rPr>
                <w:rFonts w:asciiTheme="minorHAnsi" w:hAnsiTheme="minorHAnsi" w:cstheme="minorHAnsi"/>
                <w:b w:val="0"/>
                <w:bCs w:val="0"/>
                <w:sz w:val="20"/>
                <w:szCs w:val="20"/>
              </w:rPr>
              <w:t>August 2021</w:t>
            </w:r>
          </w:p>
        </w:tc>
        <w:tc>
          <w:tcPr>
            <w:tcW w:w="766" w:type="dxa"/>
            <w:shd w:val="clear" w:color="auto" w:fill="auto"/>
          </w:tcPr>
          <w:p w14:paraId="5F58C957"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c>
          <w:tcPr>
            <w:tcW w:w="3587" w:type="dxa"/>
          </w:tcPr>
          <w:p w14:paraId="52BA10A4" w14:textId="77777777" w:rsidR="001D4494" w:rsidRPr="00E04BE1" w:rsidRDefault="001D4494" w:rsidP="000C5D9F">
            <w:pPr>
              <w:pStyle w:val="Heading1"/>
              <w:spacing w:before="1"/>
              <w:ind w:left="0"/>
              <w:rPr>
                <w:rFonts w:asciiTheme="minorHAnsi" w:hAnsiTheme="minorHAnsi" w:cstheme="minorHAnsi"/>
                <w:b w:val="0"/>
                <w:bCs w:val="0"/>
                <w:sz w:val="20"/>
                <w:szCs w:val="20"/>
              </w:rPr>
            </w:pPr>
          </w:p>
        </w:tc>
      </w:tr>
    </w:tbl>
    <w:p w14:paraId="004ABE2E" w14:textId="77777777" w:rsidR="00606650" w:rsidRPr="00E04BE1" w:rsidRDefault="00606650" w:rsidP="00E04BE1">
      <w:pPr>
        <w:tabs>
          <w:tab w:val="left" w:pos="830"/>
        </w:tabs>
        <w:ind w:right="101"/>
        <w:jc w:val="both"/>
        <w:rPr>
          <w:rFonts w:cstheme="minorHAnsi"/>
          <w:sz w:val="20"/>
          <w:szCs w:val="20"/>
        </w:rPr>
      </w:pPr>
    </w:p>
    <w:sectPr w:rsidR="00606650" w:rsidRPr="00E04BE1" w:rsidSect="00606650">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CF6A" w14:textId="77777777" w:rsidR="008A38AF" w:rsidRDefault="008A38AF" w:rsidP="00606650">
      <w:pPr>
        <w:spacing w:after="0" w:line="240" w:lineRule="auto"/>
      </w:pPr>
      <w:r>
        <w:separator/>
      </w:r>
    </w:p>
  </w:endnote>
  <w:endnote w:type="continuationSeparator" w:id="0">
    <w:p w14:paraId="505BCD50" w14:textId="77777777" w:rsidR="008A38AF" w:rsidRDefault="008A38AF" w:rsidP="0060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37AD" w14:textId="77777777" w:rsidR="008A38AF" w:rsidRDefault="008A38AF" w:rsidP="00606650">
      <w:pPr>
        <w:spacing w:after="0" w:line="240" w:lineRule="auto"/>
      </w:pPr>
      <w:r>
        <w:separator/>
      </w:r>
    </w:p>
  </w:footnote>
  <w:footnote w:type="continuationSeparator" w:id="0">
    <w:p w14:paraId="54795D26" w14:textId="77777777" w:rsidR="008A38AF" w:rsidRDefault="008A38AF" w:rsidP="00606650">
      <w:pPr>
        <w:spacing w:after="0" w:line="240" w:lineRule="auto"/>
      </w:pPr>
      <w:r>
        <w:continuationSeparator/>
      </w:r>
    </w:p>
  </w:footnote>
  <w:footnote w:id="1">
    <w:p w14:paraId="190A089A" w14:textId="77777777" w:rsidR="00AA4AF9" w:rsidRDefault="00AA4AF9" w:rsidP="00606650">
      <w:pPr>
        <w:pStyle w:val="FootnoteText"/>
      </w:pPr>
      <w:r>
        <w:rPr>
          <w:rStyle w:val="FootnoteReference"/>
        </w:rPr>
        <w:footnoteRef/>
      </w:r>
      <w:r>
        <w:t xml:space="preserve"> </w:t>
      </w:r>
      <w:r w:rsidRPr="000B5F7B">
        <w:t>https://epilepsysociety.org.uk/sites/default/files/2020-08/PrimarycarereviewtemplateApril2015_0.pdf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68D3" w14:textId="5016BE37" w:rsidR="00A112EB" w:rsidRPr="00A82296" w:rsidRDefault="00A112EB" w:rsidP="00A82296">
    <w:pPr>
      <w:pStyle w:val="Header"/>
      <w:jc w:val="center"/>
      <w:rPr>
        <w:i/>
        <w:iCs/>
        <w:sz w:val="40"/>
        <w:szCs w:val="40"/>
        <w:lang w:val="en-US"/>
      </w:rPr>
    </w:pPr>
    <w:r w:rsidRPr="00A112EB">
      <w:rPr>
        <w:sz w:val="48"/>
        <w:szCs w:val="48"/>
        <w:lang w:val="en-US"/>
      </w:rPr>
      <w:t xml:space="preserve">Action Plan </w:t>
    </w:r>
    <w:proofErr w:type="spellStart"/>
    <w:r w:rsidRPr="00A112EB">
      <w:rPr>
        <w:sz w:val="48"/>
        <w:szCs w:val="48"/>
        <w:lang w:val="en-US"/>
      </w:rPr>
      <w:t>Mr</w:t>
    </w:r>
    <w:proofErr w:type="spellEnd"/>
    <w:r w:rsidRPr="00A112EB">
      <w:rPr>
        <w:sz w:val="48"/>
        <w:szCs w:val="48"/>
        <w:lang w:val="en-US"/>
      </w:rPr>
      <w:t xml:space="preserve"> G- May 2021</w:t>
    </w:r>
    <w:r w:rsidR="0026006D">
      <w:rPr>
        <w:sz w:val="48"/>
        <w:szCs w:val="48"/>
        <w:lang w:val="en-US"/>
      </w:rPr>
      <w:t xml:space="preserve"> </w:t>
    </w:r>
    <w:r w:rsidR="0026006D" w:rsidRPr="0026006D">
      <w:rPr>
        <w:i/>
        <w:iCs/>
        <w:sz w:val="40"/>
        <w:szCs w:val="40"/>
        <w:lang w:val="en-US"/>
      </w:rPr>
      <w:t xml:space="preserve">(updated </w:t>
    </w:r>
    <w:r w:rsidR="00A82296">
      <w:rPr>
        <w:i/>
        <w:iCs/>
        <w:sz w:val="40"/>
        <w:szCs w:val="40"/>
        <w:lang w:val="en-US"/>
      </w:rPr>
      <w:t>Aug 2023</w:t>
    </w:r>
    <w:r w:rsidR="0026006D" w:rsidRPr="0026006D">
      <w:rPr>
        <w:i/>
        <w:iCs/>
        <w:sz w:val="40"/>
        <w:szCs w:val="4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9D8"/>
    <w:multiLevelType w:val="hybridMultilevel"/>
    <w:tmpl w:val="DC2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A2806"/>
    <w:multiLevelType w:val="hybridMultilevel"/>
    <w:tmpl w:val="F7BC6D6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3331C23"/>
    <w:multiLevelType w:val="hybridMultilevel"/>
    <w:tmpl w:val="286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85839"/>
    <w:multiLevelType w:val="hybridMultilevel"/>
    <w:tmpl w:val="A8E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46284"/>
    <w:multiLevelType w:val="hybridMultilevel"/>
    <w:tmpl w:val="3AF0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237A7"/>
    <w:multiLevelType w:val="hybridMultilevel"/>
    <w:tmpl w:val="7E969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ED544E"/>
    <w:multiLevelType w:val="hybridMultilevel"/>
    <w:tmpl w:val="DD9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718767">
    <w:abstractNumId w:val="1"/>
  </w:num>
  <w:num w:numId="2" w16cid:durableId="257906873">
    <w:abstractNumId w:val="6"/>
  </w:num>
  <w:num w:numId="3" w16cid:durableId="1640695568">
    <w:abstractNumId w:val="4"/>
  </w:num>
  <w:num w:numId="4" w16cid:durableId="1280988046">
    <w:abstractNumId w:val="3"/>
  </w:num>
  <w:num w:numId="5" w16cid:durableId="2049408852">
    <w:abstractNumId w:val="0"/>
  </w:num>
  <w:num w:numId="6" w16cid:durableId="1884126878">
    <w:abstractNumId w:val="2"/>
  </w:num>
  <w:num w:numId="7" w16cid:durableId="2085295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50"/>
    <w:rsid w:val="00006A70"/>
    <w:rsid w:val="00025A75"/>
    <w:rsid w:val="00027622"/>
    <w:rsid w:val="00030FF0"/>
    <w:rsid w:val="00036F45"/>
    <w:rsid w:val="0008660E"/>
    <w:rsid w:val="0009776C"/>
    <w:rsid w:val="000C5D9F"/>
    <w:rsid w:val="000D7561"/>
    <w:rsid w:val="000E42ED"/>
    <w:rsid w:val="000F1EDA"/>
    <w:rsid w:val="000F50BA"/>
    <w:rsid w:val="0010178C"/>
    <w:rsid w:val="0010675B"/>
    <w:rsid w:val="001854BB"/>
    <w:rsid w:val="001A6BCD"/>
    <w:rsid w:val="001D4494"/>
    <w:rsid w:val="002212CE"/>
    <w:rsid w:val="00257AC6"/>
    <w:rsid w:val="0026006D"/>
    <w:rsid w:val="002648F1"/>
    <w:rsid w:val="002707B8"/>
    <w:rsid w:val="00285B55"/>
    <w:rsid w:val="002A50A0"/>
    <w:rsid w:val="002B054C"/>
    <w:rsid w:val="002B5B8D"/>
    <w:rsid w:val="002C715B"/>
    <w:rsid w:val="00305230"/>
    <w:rsid w:val="00313F3C"/>
    <w:rsid w:val="003325E1"/>
    <w:rsid w:val="0037167C"/>
    <w:rsid w:val="00372FFC"/>
    <w:rsid w:val="00375A88"/>
    <w:rsid w:val="00382F1E"/>
    <w:rsid w:val="003B0D38"/>
    <w:rsid w:val="003E14DD"/>
    <w:rsid w:val="003F7838"/>
    <w:rsid w:val="0044281E"/>
    <w:rsid w:val="00487607"/>
    <w:rsid w:val="00490CDC"/>
    <w:rsid w:val="004C572A"/>
    <w:rsid w:val="004D53F6"/>
    <w:rsid w:val="004E6156"/>
    <w:rsid w:val="00501453"/>
    <w:rsid w:val="00511957"/>
    <w:rsid w:val="005270BA"/>
    <w:rsid w:val="00530E2F"/>
    <w:rsid w:val="005343B1"/>
    <w:rsid w:val="005A5C22"/>
    <w:rsid w:val="005A6755"/>
    <w:rsid w:val="00606650"/>
    <w:rsid w:val="006237C1"/>
    <w:rsid w:val="00630B18"/>
    <w:rsid w:val="00732F37"/>
    <w:rsid w:val="00785990"/>
    <w:rsid w:val="007F5A7C"/>
    <w:rsid w:val="00831A64"/>
    <w:rsid w:val="0083732E"/>
    <w:rsid w:val="00872FAB"/>
    <w:rsid w:val="008A38AF"/>
    <w:rsid w:val="00910E0E"/>
    <w:rsid w:val="00932FC7"/>
    <w:rsid w:val="009F47FE"/>
    <w:rsid w:val="00A025DD"/>
    <w:rsid w:val="00A112EB"/>
    <w:rsid w:val="00A34B5B"/>
    <w:rsid w:val="00A6695A"/>
    <w:rsid w:val="00A81A67"/>
    <w:rsid w:val="00A82296"/>
    <w:rsid w:val="00A85F19"/>
    <w:rsid w:val="00AA4AF9"/>
    <w:rsid w:val="00AF430E"/>
    <w:rsid w:val="00B254B6"/>
    <w:rsid w:val="00B26E63"/>
    <w:rsid w:val="00BC5807"/>
    <w:rsid w:val="00BC699A"/>
    <w:rsid w:val="00BD66E5"/>
    <w:rsid w:val="00C15798"/>
    <w:rsid w:val="00C51A13"/>
    <w:rsid w:val="00C8018D"/>
    <w:rsid w:val="00CA1735"/>
    <w:rsid w:val="00CE0B33"/>
    <w:rsid w:val="00D06A17"/>
    <w:rsid w:val="00D22264"/>
    <w:rsid w:val="00D65D9B"/>
    <w:rsid w:val="00DD2249"/>
    <w:rsid w:val="00DE09BC"/>
    <w:rsid w:val="00DE4E24"/>
    <w:rsid w:val="00DF2E34"/>
    <w:rsid w:val="00DF5BC4"/>
    <w:rsid w:val="00E04BE1"/>
    <w:rsid w:val="00E16B87"/>
    <w:rsid w:val="00E32DB2"/>
    <w:rsid w:val="00E475A4"/>
    <w:rsid w:val="00E50445"/>
    <w:rsid w:val="00E7543A"/>
    <w:rsid w:val="00E80BD4"/>
    <w:rsid w:val="00EA2A74"/>
    <w:rsid w:val="00EF1120"/>
    <w:rsid w:val="00F313C2"/>
    <w:rsid w:val="00F36F55"/>
    <w:rsid w:val="00F70A24"/>
    <w:rsid w:val="00F852D7"/>
    <w:rsid w:val="00FB247B"/>
    <w:rsid w:val="00FB3151"/>
    <w:rsid w:val="00FC0039"/>
    <w:rsid w:val="00FC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D944"/>
  <w15:chartTrackingRefBased/>
  <w15:docId w15:val="{7246A90E-AAA1-4290-8C40-C44D3B2A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6650"/>
    <w:pPr>
      <w:spacing w:after="0" w:line="240" w:lineRule="auto"/>
      <w:ind w:left="100"/>
      <w:outlineLvl w:val="0"/>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50"/>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606650"/>
    <w:pPr>
      <w:spacing w:after="0" w:line="240" w:lineRule="auto"/>
      <w:ind w:left="820" w:hanging="36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60665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0665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606650"/>
    <w:rPr>
      <w:vertAlign w:val="superscript"/>
    </w:rPr>
  </w:style>
  <w:style w:type="table" w:styleId="TableGrid">
    <w:name w:val="Table Grid"/>
    <w:basedOn w:val="TableNormal"/>
    <w:uiPriority w:val="39"/>
    <w:rsid w:val="0060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2EB"/>
  </w:style>
  <w:style w:type="paragraph" w:styleId="Footer">
    <w:name w:val="footer"/>
    <w:basedOn w:val="Normal"/>
    <w:link w:val="FooterChar"/>
    <w:uiPriority w:val="99"/>
    <w:unhideWhenUsed/>
    <w:rsid w:val="00A1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2EB"/>
  </w:style>
  <w:style w:type="character" w:styleId="CommentReference">
    <w:name w:val="annotation reference"/>
    <w:basedOn w:val="DefaultParagraphFont"/>
    <w:uiPriority w:val="99"/>
    <w:semiHidden/>
    <w:unhideWhenUsed/>
    <w:rsid w:val="0044281E"/>
    <w:rPr>
      <w:sz w:val="16"/>
      <w:szCs w:val="16"/>
    </w:rPr>
  </w:style>
  <w:style w:type="paragraph" w:styleId="CommentText">
    <w:name w:val="annotation text"/>
    <w:basedOn w:val="Normal"/>
    <w:link w:val="CommentTextChar"/>
    <w:uiPriority w:val="99"/>
    <w:semiHidden/>
    <w:unhideWhenUsed/>
    <w:rsid w:val="0044281E"/>
    <w:pPr>
      <w:spacing w:line="240" w:lineRule="auto"/>
    </w:pPr>
    <w:rPr>
      <w:sz w:val="20"/>
      <w:szCs w:val="20"/>
    </w:rPr>
  </w:style>
  <w:style w:type="character" w:customStyle="1" w:styleId="CommentTextChar">
    <w:name w:val="Comment Text Char"/>
    <w:basedOn w:val="DefaultParagraphFont"/>
    <w:link w:val="CommentText"/>
    <w:uiPriority w:val="99"/>
    <w:semiHidden/>
    <w:rsid w:val="0044281E"/>
    <w:rPr>
      <w:sz w:val="20"/>
      <w:szCs w:val="20"/>
    </w:rPr>
  </w:style>
  <w:style w:type="paragraph" w:styleId="CommentSubject">
    <w:name w:val="annotation subject"/>
    <w:basedOn w:val="CommentText"/>
    <w:next w:val="CommentText"/>
    <w:link w:val="CommentSubjectChar"/>
    <w:uiPriority w:val="99"/>
    <w:semiHidden/>
    <w:unhideWhenUsed/>
    <w:rsid w:val="0044281E"/>
    <w:rPr>
      <w:b/>
      <w:bCs/>
    </w:rPr>
  </w:style>
  <w:style w:type="character" w:customStyle="1" w:styleId="CommentSubjectChar">
    <w:name w:val="Comment Subject Char"/>
    <w:basedOn w:val="CommentTextChar"/>
    <w:link w:val="CommentSubject"/>
    <w:uiPriority w:val="99"/>
    <w:semiHidden/>
    <w:rsid w:val="0044281E"/>
    <w:rPr>
      <w:b/>
      <w:bCs/>
      <w:sz w:val="20"/>
      <w:szCs w:val="20"/>
    </w:rPr>
  </w:style>
  <w:style w:type="paragraph" w:styleId="BalloonText">
    <w:name w:val="Balloon Text"/>
    <w:basedOn w:val="Normal"/>
    <w:link w:val="BalloonTextChar"/>
    <w:uiPriority w:val="99"/>
    <w:semiHidden/>
    <w:unhideWhenUsed/>
    <w:rsid w:val="00442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5486">
      <w:bodyDiv w:val="1"/>
      <w:marLeft w:val="0"/>
      <w:marRight w:val="0"/>
      <w:marTop w:val="0"/>
      <w:marBottom w:val="0"/>
      <w:divBdr>
        <w:top w:val="none" w:sz="0" w:space="0" w:color="auto"/>
        <w:left w:val="none" w:sz="0" w:space="0" w:color="auto"/>
        <w:bottom w:val="none" w:sz="0" w:space="0" w:color="auto"/>
        <w:right w:val="none" w:sz="0" w:space="0" w:color="auto"/>
      </w:divBdr>
    </w:div>
    <w:div w:id="1060791085">
      <w:bodyDiv w:val="1"/>
      <w:marLeft w:val="0"/>
      <w:marRight w:val="0"/>
      <w:marTop w:val="0"/>
      <w:marBottom w:val="0"/>
      <w:divBdr>
        <w:top w:val="none" w:sz="0" w:space="0" w:color="auto"/>
        <w:left w:val="none" w:sz="0" w:space="0" w:color="auto"/>
        <w:bottom w:val="none" w:sz="0" w:space="0" w:color="auto"/>
        <w:right w:val="none" w:sz="0" w:space="0" w:color="auto"/>
      </w:divBdr>
    </w:div>
    <w:div w:id="1116169907">
      <w:bodyDiv w:val="1"/>
      <w:marLeft w:val="0"/>
      <w:marRight w:val="0"/>
      <w:marTop w:val="0"/>
      <w:marBottom w:val="0"/>
      <w:divBdr>
        <w:top w:val="none" w:sz="0" w:space="0" w:color="auto"/>
        <w:left w:val="none" w:sz="0" w:space="0" w:color="auto"/>
        <w:bottom w:val="none" w:sz="0" w:space="0" w:color="auto"/>
        <w:right w:val="none" w:sz="0" w:space="0" w:color="auto"/>
      </w:divBdr>
    </w:div>
    <w:div w:id="1346977162">
      <w:bodyDiv w:val="1"/>
      <w:marLeft w:val="0"/>
      <w:marRight w:val="0"/>
      <w:marTop w:val="0"/>
      <w:marBottom w:val="0"/>
      <w:divBdr>
        <w:top w:val="none" w:sz="0" w:space="0" w:color="auto"/>
        <w:left w:val="none" w:sz="0" w:space="0" w:color="auto"/>
        <w:bottom w:val="none" w:sz="0" w:space="0" w:color="auto"/>
        <w:right w:val="none" w:sz="0" w:space="0" w:color="auto"/>
      </w:divBdr>
    </w:div>
    <w:div w:id="1393965803">
      <w:bodyDiv w:val="1"/>
      <w:marLeft w:val="0"/>
      <w:marRight w:val="0"/>
      <w:marTop w:val="0"/>
      <w:marBottom w:val="0"/>
      <w:divBdr>
        <w:top w:val="none" w:sz="0" w:space="0" w:color="auto"/>
        <w:left w:val="none" w:sz="0" w:space="0" w:color="auto"/>
        <w:bottom w:val="none" w:sz="0" w:space="0" w:color="auto"/>
        <w:right w:val="none" w:sz="0" w:space="0" w:color="auto"/>
      </w:divBdr>
    </w:div>
    <w:div w:id="19417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C041A6DF8940684098B5C9E88D2B1DD0" ma:contentTypeVersion="3" ma:contentTypeDescription="" ma:contentTypeScope="" ma:versionID="b67cc73107a91500fdb93ddf1830d52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D1A30-453E-4781-8443-0766634B77CD}">
  <ds:schemaRefs>
    <ds:schemaRef ds:uri="Microsoft.SharePoint.Taxonomy.ContentTypeSync"/>
  </ds:schemaRefs>
</ds:datastoreItem>
</file>

<file path=customXml/itemProps2.xml><?xml version="1.0" encoding="utf-8"?>
<ds:datastoreItem xmlns:ds="http://schemas.openxmlformats.org/officeDocument/2006/customXml" ds:itemID="{74A90723-5A93-4042-BE8B-47E2DF3D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3B88AE-FBAA-4D7D-92F4-01A545A675B2}">
  <ds:schemaRefs>
    <ds:schemaRef ds:uri="http://schemas.openxmlformats.org/officeDocument/2006/bibliography"/>
  </ds:schemaRefs>
</ds:datastoreItem>
</file>

<file path=customXml/itemProps4.xml><?xml version="1.0" encoding="utf-8"?>
<ds:datastoreItem xmlns:ds="http://schemas.openxmlformats.org/officeDocument/2006/customXml" ds:itemID="{74B97B90-8BFD-4735-AB29-B6FBDAD621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98CE23-F318-430F-9F04-EA431498B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Bonnewell</dc:creator>
  <cp:keywords/>
  <dc:description/>
  <cp:lastModifiedBy>Helen Bonnewell</cp:lastModifiedBy>
  <cp:revision>2</cp:revision>
  <dcterms:created xsi:type="dcterms:W3CDTF">2023-08-16T11:38:00Z</dcterms:created>
  <dcterms:modified xsi:type="dcterms:W3CDTF">2023-08-16T11:38:00Z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0x0101009CEB1DA2CC907747900298E7F35D742E00C041A6DF8940684098B5C9E88D2B1DD0</vt:lpwstr>
  </property>
</Properties>
</file>